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33CDB">
      <w:pPr>
        <w:widowControl/>
        <w:spacing w:line="240" w:lineRule="auto"/>
        <w:jc w:val="center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《厦门市生产资料批发业企业发展状况调查问卷》</w:t>
      </w:r>
    </w:p>
    <w:p w14:paraId="5A329B5F">
      <w:pPr>
        <w:widowControl/>
        <w:spacing w:line="240" w:lineRule="auto"/>
        <w:jc w:val="center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关键指标填写要点</w:t>
      </w:r>
    </w:p>
    <w:p w14:paraId="4F652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45AC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一、企业基本情况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（S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1-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 w14:paraId="61A6C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）注册登记类型（S2，单选）</w:t>
      </w:r>
    </w:p>
    <w:p w14:paraId="4335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1.国有控股：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企业股权中国有资本占主导（控股）；</w:t>
      </w:r>
    </w:p>
    <w:p w14:paraId="6B1C5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2.民资控股：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企业股权中民营资本占主导；</w:t>
      </w:r>
    </w:p>
    <w:p w14:paraId="4F333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3.外资企业：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由境外资本（非港澳台地区）投资设立；</w:t>
      </w:r>
    </w:p>
    <w:p w14:paraId="21DF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4.港澳台资企业：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由香港、澳门、台湾地区资本投资设立；</w:t>
      </w:r>
    </w:p>
    <w:p w14:paraId="6EA12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5.其他：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上述类型之外的，请具体说明。</w:t>
      </w:r>
    </w:p>
    <w:p w14:paraId="10E5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）主要批发产品（S3，可多选，最多2项）</w:t>
      </w:r>
    </w:p>
    <w:p w14:paraId="44C0E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直接对照选项中的具体举例判断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如批发“螺纹钢”选“1.黑色金属”，批发“尿素”选“8.农业生产资料”；若产品不在列表中，选“11.其他”并在输入框填写具体产品（如“工业轴承”）。</w:t>
      </w:r>
    </w:p>
    <w:p w14:paraId="3424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）连锁经营相关（S4-S4.3）</w:t>
      </w:r>
    </w:p>
    <w:p w14:paraId="12FCA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S4：“连锁”指通过统一品牌、统一管理模式跨区域经营（如连锁超市的批发模式），否则选“非连锁”；</w:t>
      </w:r>
    </w:p>
    <w:p w14:paraId="033A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若S4选“连锁”：</w:t>
      </w:r>
    </w:p>
    <w:p w14:paraId="54AF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S4.1：是否为总部（统一管理各门店的主体）；</w:t>
      </w:r>
    </w:p>
    <w:p w14:paraId="1E517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S4.2：填写连锁门店数量（整数）；</w:t>
      </w:r>
    </w:p>
    <w:p w14:paraId="7D82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S4.3：门店分布需精确到“省+市”（如“福建省厦门市”）。</w:t>
      </w:r>
    </w:p>
    <w:p w14:paraId="28B7248D"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br w:type="page"/>
      </w:r>
    </w:p>
    <w:p w14:paraId="31FDA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二、企业经营指标（Q1）</w:t>
      </w:r>
    </w:p>
    <w:p w14:paraId="4A9D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营业收入：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全年所有经营收入总和（含主营业务、其他业务），需≥主营业务收入；</w:t>
      </w:r>
    </w:p>
    <w:p w14:paraId="5941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主营业务收入：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与核心批发业务直接相关的收入（如批发有色金属的收入）；</w:t>
      </w:r>
    </w:p>
    <w:p w14:paraId="68C73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商品销售额：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全年批发商品的总金额（含内销、出口），需≥出口额；</w:t>
      </w:r>
    </w:p>
    <w:p w14:paraId="3169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出口额：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销往境外（含港澳台）的商品销售额；</w:t>
      </w:r>
    </w:p>
    <w:p w14:paraId="7992C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电子商务交易额：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仅统计通过电商平台（自建网站、第三方平台等）完成的批发额，不含线下交易；</w:t>
      </w:r>
    </w:p>
    <w:p w14:paraId="274C0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应交税费：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全年应缴纳的各项税金总额（如增值税、企业所得税等，按财务账套“应交税费”贷方累计数填写，非实际缴纳额）；</w:t>
      </w:r>
    </w:p>
    <w:p w14:paraId="1B88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应付职工薪酬：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全年为员工支付的工资、奖金、福利等总额（按财务账套“应付职工薪酬”贷方累计数填写）；</w:t>
      </w:r>
    </w:p>
    <w:p w14:paraId="522E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资产总计：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企业拥有的全部资产（如现金、存货、厂房、设备等）的总价值。</w:t>
      </w:r>
    </w:p>
    <w:p w14:paraId="4304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流动资产合计：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一年内可变现的资产（如现金、存货、应收账款等）。</w:t>
      </w:r>
    </w:p>
    <w:p w14:paraId="3F1E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固定资产合计：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长期使用的资产（如门店房产、货架、设备等，按原值计）。</w:t>
      </w:r>
    </w:p>
    <w:p w14:paraId="71E5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负债合计：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企业需偿还的全部债务（如应付账款、贷款等）。</w:t>
      </w:r>
    </w:p>
    <w:p w14:paraId="0593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本年折旧：</w:t>
      </w:r>
      <w:r>
        <w:rPr>
          <w:rFonts w:hint="eastAsia" w:ascii="仿宋_GB2312" w:hAnsi="仿宋_GB2312" w:eastAsia="仿宋_GB2312" w:cs="仿宋_GB2312"/>
          <w:sz w:val="28"/>
          <w:szCs w:val="36"/>
        </w:rPr>
        <w:t>固定资产当年的折旧金额（如设备、房产的年度损耗分摊）。</w:t>
      </w:r>
    </w:p>
    <w:p w14:paraId="107AC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主营业务利润：</w:t>
      </w:r>
      <w:r>
        <w:rPr>
          <w:rFonts w:hint="eastAsia" w:ascii="仿宋_GB2312" w:hAnsi="仿宋_GB2312" w:eastAsia="仿宋_GB2312" w:cs="仿宋_GB2312"/>
          <w:sz w:val="28"/>
          <w:szCs w:val="36"/>
        </w:rPr>
        <w:t>主营业务收入减去主营业务成本及相关费用后的利润。</w:t>
      </w:r>
    </w:p>
    <w:p w14:paraId="4C6C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其他业务收入：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非核心批发业务的收入（如场地租赁收入）。</w:t>
      </w:r>
    </w:p>
    <w:p w14:paraId="0BBE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.三项费用合计：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营业费用（如促销费）、管理费用（如办公费）、财务费用（如贷款利息）的总和。</w:t>
      </w:r>
    </w:p>
    <w:p w14:paraId="293C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.营业利润：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营业收入减去营业成本、三项费用等后的利润（未扣所得税）。</w:t>
      </w:r>
    </w:p>
    <w:p w14:paraId="477F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利润总额：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营业利润加营业外收支后的总利润。</w:t>
      </w:r>
    </w:p>
    <w:p w14:paraId="0EE47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年末从业人数：</w:t>
      </w:r>
      <w:r>
        <w:rPr>
          <w:rFonts w:hint="eastAsia" w:ascii="仿宋_GB2312" w:hAnsi="仿宋_GB2312" w:eastAsia="仿宋_GB2312" w:cs="仿宋_GB2312"/>
          <w:sz w:val="28"/>
          <w:szCs w:val="36"/>
        </w:rPr>
        <w:t>年末实际参与生产经营活动并取得劳动报酬的全部人员，包括：在岗合同制职工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临时工、外聘离退休人员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兼职人员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等，</w:t>
      </w:r>
      <w:r>
        <w:rPr>
          <w:rFonts w:hint="eastAsia" w:ascii="仿宋_GB2312" w:hAnsi="仿宋_GB2312" w:eastAsia="仿宋_GB2312" w:cs="仿宋_GB2312"/>
          <w:sz w:val="28"/>
          <w:szCs w:val="36"/>
        </w:rPr>
        <w:t>但需排除签订劳务外包合同的人员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停薪留职或保留劳动关系但未实际在岗的职工。</w:t>
      </w:r>
    </w:p>
    <w:p w14:paraId="13B8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三、企业发展状况及评价（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Q2-Q23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 w14:paraId="0923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）线上业务占比（Q8，单选）</w:t>
      </w:r>
    </w:p>
    <w:p w14:paraId="13F3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按“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36"/>
        </w:rPr>
        <w:t>年线上批发额÷全年总批发额”的比例选择区间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如占比15%选“2.11%-20%”；完全无线上业务选“10.没有开展”。</w:t>
      </w:r>
    </w:p>
    <w:p w14:paraId="4672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）政策受益（Q17，可多选，限3项）</w:t>
      </w:r>
    </w:p>
    <w:p w14:paraId="1CF2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简政放权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政府简化行政审批流程、减少不必要的行政干预，压缩审批时间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提高企业办事效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率。</w:t>
      </w:r>
    </w:p>
    <w:p w14:paraId="7F0A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创新支持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政府对企业在技术研发、模式创新、管理升级等方面的扶持政策（如资金补贴、资源倾斜等）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企业研发“生产资料智能仓储管理系统”（用于优化钢材、化工产品等仓储效率），政府按研发投入的20%给予补贴；企业试点“线上供需智能匹配模式”，被纳入政府创新试点项目并获得专项扶持资金。</w:t>
      </w:r>
    </w:p>
    <w:p w14:paraId="37CC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减税降费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政府通过降低税率、减免税费或减少行政事业性收费，减轻企业税负成本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企业2024年缴纳的增值税适用“进项税额加计抵减”政策（如加计10%抵扣），实际少缴税款50万元；或减免“残疾人就业保障金”“教育费附加”等，全年减少费用支出10万元。</w:t>
      </w:r>
    </w:p>
    <w:p w14:paraId="0C302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4.降息：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指银行降低贷款利率，减少企业融资成本（包括贷款利息、票据贴现利率等），例如：企业2024年向银行申请500万元经营贷款（用于囤货有色金属），年利率从4.5%降至3.8%，全年减少利息支出3.5万元；或开具银行承兑汇票的贴现利率下降，节省融资费用2万元。</w:t>
      </w:r>
    </w:p>
    <w:p w14:paraId="50675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5.促进外贸稳定增长政策：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支持企业出口业务的政策（如优化出口流程、提高退税效率、补贴外贸成本等），例如：企业出口螺纹钢至东南亚，2024年出口退税率从13%提高至16%，单笔出口业务多获得退税8万元；或参加“广交会”“东盟博览会”等外贸展会，政府补贴50%的展位费。</w:t>
      </w:r>
    </w:p>
    <w:p w14:paraId="5B12B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6.“互联网+”扶持政策：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支持企业利用互联网、数字技术开展业务（如线上交易、数字化管理等）的政策，例如：企业搭建线上批发平台（用于化工产品、农资等线上交易），政府按平台建设费用的30%给予补贴（最高20万元）；或参加政府组织的“数字化转型培训”（如学习线上客户管理工具），培训费用全额报销。</w:t>
      </w:r>
    </w:p>
    <w:p w14:paraId="51264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）建议（Q23）</w:t>
      </w:r>
    </w:p>
    <w:p w14:paraId="7120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填写对政府的具体诉求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如“希望增加数字化改造补贴”“优化物流成本”等。</w:t>
      </w:r>
    </w:p>
    <w:p w14:paraId="399E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56006"/>
    <w:rsid w:val="0C2005EB"/>
    <w:rsid w:val="13FA752E"/>
    <w:rsid w:val="2AD56006"/>
    <w:rsid w:val="3D4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2152</Characters>
  <Lines>0</Lines>
  <Paragraphs>0</Paragraphs>
  <TotalTime>8</TotalTime>
  <ScaleCrop>false</ScaleCrop>
  <LinksUpToDate>false</LinksUpToDate>
  <CharactersWithSpaces>2152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2025-07-29T07:41:00Z</dcterms:created>
  <dc:creator>言落</dc:creator>
  <cp:lastModifiedBy>言落</cp:lastModifiedBy>
  <dcterms:modified xsi:type="dcterms:W3CDTF">2025-07-30T06:50:40Z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50081B5AD28549849D6309916161A4EC_11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