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33CDB">
      <w:pPr>
        <w:widowControl/>
        <w:spacing w:line="240" w:lineRule="auto"/>
        <w:jc w:val="center"/>
        <w:outlineLvl w:val="9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《厦门市仓储业企业发展状况调查问卷》</w:t>
      </w:r>
    </w:p>
    <w:p w14:paraId="0C7AF273"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关键指标填写要点</w:t>
      </w:r>
    </w:p>
    <w:p w14:paraId="332F7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55D6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企业基本情况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（S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1-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S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</w:p>
    <w:p w14:paraId="00AD3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）注册登记类型（S2，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单选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</w:t>
      </w:r>
    </w:p>
    <w:p w14:paraId="5D85C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国有控股：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企业股权中国有资本占主导（控股）；</w:t>
      </w:r>
    </w:p>
    <w:p w14:paraId="651F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民资控股：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企业股权中民营资本占主导；</w:t>
      </w:r>
    </w:p>
    <w:p w14:paraId="27A60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外资企业：</w:t>
      </w:r>
      <w:r>
        <w:rPr>
          <w:rFonts w:hint="eastAsia" w:ascii="仿宋_GB2312" w:hAnsi="仿宋_GB2312" w:eastAsia="仿宋_GB2312" w:cs="仿宋_GB2312"/>
          <w:sz w:val="28"/>
          <w:szCs w:val="36"/>
        </w:rPr>
        <w:t>由境外资本（非港澳台地区）投资设立；</w:t>
      </w:r>
    </w:p>
    <w:p w14:paraId="5A3A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港澳台资企业：</w:t>
      </w:r>
      <w:r>
        <w:rPr>
          <w:rFonts w:hint="eastAsia" w:ascii="仿宋_GB2312" w:hAnsi="仿宋_GB2312" w:eastAsia="仿宋_GB2312" w:cs="仿宋_GB2312"/>
          <w:sz w:val="28"/>
          <w:szCs w:val="36"/>
        </w:rPr>
        <w:t>由香港、澳门、台湾地区资本投资设立；</w:t>
      </w:r>
    </w:p>
    <w:p w14:paraId="1EAC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其他：</w:t>
      </w:r>
      <w:r>
        <w:rPr>
          <w:rFonts w:hint="eastAsia" w:ascii="仿宋_GB2312" w:hAnsi="仿宋_GB2312" w:eastAsia="仿宋_GB2312" w:cs="仿宋_GB2312"/>
          <w:sz w:val="28"/>
          <w:szCs w:val="36"/>
        </w:rPr>
        <w:t>上述类型之外的，请具体说明。</w:t>
      </w:r>
    </w:p>
    <w:p w14:paraId="3077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）业务辐射范围（S3）</w:t>
      </w:r>
    </w:p>
    <w:p w14:paraId="3D99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本市：</w:t>
      </w:r>
      <w:r>
        <w:rPr>
          <w:rFonts w:hint="eastAsia" w:ascii="仿宋_GB2312" w:hAnsi="仿宋_GB2312" w:eastAsia="仿宋_GB2312" w:cs="仿宋_GB2312"/>
          <w:sz w:val="28"/>
          <w:szCs w:val="36"/>
        </w:rPr>
        <w:t>业务完全局限于厦门市行政区域内；</w:t>
      </w:r>
    </w:p>
    <w:p w14:paraId="3C2BD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本省：</w:t>
      </w:r>
      <w:r>
        <w:rPr>
          <w:rFonts w:hint="eastAsia" w:ascii="仿宋_GB2312" w:hAnsi="仿宋_GB2312" w:eastAsia="仿宋_GB2312" w:cs="仿宋_GB2312"/>
          <w:sz w:val="28"/>
          <w:szCs w:val="36"/>
        </w:rPr>
        <w:t>业务覆盖福建省内（不含厦门市外的周边省份）；</w:t>
      </w:r>
    </w:p>
    <w:p w14:paraId="7220A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3.本省及周边省区：</w:t>
      </w:r>
      <w:r>
        <w:rPr>
          <w:rFonts w:hint="eastAsia" w:ascii="仿宋_GB2312" w:hAnsi="仿宋_GB2312" w:eastAsia="仿宋_GB2312" w:cs="仿宋_GB2312"/>
          <w:sz w:val="28"/>
          <w:szCs w:val="36"/>
        </w:rPr>
        <w:t>以福建省为核心，同时覆盖广东、浙江、江西等相邻省份；</w:t>
      </w:r>
    </w:p>
    <w:p w14:paraId="2525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4.全国：</w:t>
      </w:r>
      <w:r>
        <w:rPr>
          <w:rFonts w:hint="eastAsia" w:ascii="仿宋_GB2312" w:hAnsi="仿宋_GB2312" w:eastAsia="仿宋_GB2312" w:cs="仿宋_GB2312"/>
          <w:sz w:val="28"/>
          <w:szCs w:val="36"/>
        </w:rPr>
        <w:t>业务范围覆盖中国大陆各省/自治区/直辖市；</w:t>
      </w:r>
    </w:p>
    <w:p w14:paraId="593A3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5.跨国境：</w:t>
      </w:r>
      <w:r>
        <w:rPr>
          <w:rFonts w:hint="eastAsia" w:ascii="仿宋_GB2312" w:hAnsi="仿宋_GB2312" w:eastAsia="仿宋_GB2312" w:cs="仿宋_GB2312"/>
          <w:sz w:val="28"/>
          <w:szCs w:val="36"/>
        </w:rPr>
        <w:t>业务涉及货物进出境（如进出口仓储、国际中转等）。</w:t>
      </w:r>
    </w:p>
    <w:p w14:paraId="27A8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）客户群体（S4）</w:t>
      </w:r>
    </w:p>
    <w:p w14:paraId="13B8F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1.电商：</w:t>
      </w:r>
      <w:r>
        <w:rPr>
          <w:rFonts w:hint="eastAsia" w:ascii="仿宋_GB2312" w:hAnsi="仿宋_GB2312" w:eastAsia="仿宋_GB2312" w:cs="仿宋_GB2312"/>
          <w:sz w:val="28"/>
          <w:szCs w:val="36"/>
        </w:rPr>
        <w:t>含电商平台（如淘宝、京东）、电商卖家（含直播电商、社区团购商家）；</w:t>
      </w:r>
    </w:p>
    <w:p w14:paraId="095E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2.第三方物流公司：</w:t>
      </w:r>
      <w:r>
        <w:rPr>
          <w:rFonts w:hint="eastAsia" w:ascii="仿宋_GB2312" w:hAnsi="仿宋_GB2312" w:eastAsia="仿宋_GB2312" w:cs="仿宋_GB2312"/>
          <w:sz w:val="28"/>
          <w:szCs w:val="36"/>
        </w:rPr>
        <w:t>专业提供物流服务的企业（非本公司关联方）；</w:t>
      </w:r>
    </w:p>
    <w:p w14:paraId="22C5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3.制造业：</w:t>
      </w:r>
      <w:r>
        <w:rPr>
          <w:rFonts w:hint="eastAsia" w:ascii="仿宋_GB2312" w:hAnsi="仿宋_GB2312" w:eastAsia="仿宋_GB2312" w:cs="仿宋_GB2312"/>
          <w:sz w:val="28"/>
          <w:szCs w:val="36"/>
        </w:rPr>
        <w:t>工业生产企业（如电子、机械、化工等产品生产厂家）；</w:t>
      </w:r>
    </w:p>
    <w:p w14:paraId="63BD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4.零售业：</w:t>
      </w:r>
      <w:r>
        <w:rPr>
          <w:rFonts w:hint="eastAsia" w:ascii="仿宋_GB2312" w:hAnsi="仿宋_GB2312" w:eastAsia="仿宋_GB2312" w:cs="仿宋_GB2312"/>
          <w:sz w:val="28"/>
          <w:szCs w:val="36"/>
        </w:rPr>
        <w:t>超市、便利店、连锁品牌门店等终端零售企业；</w:t>
      </w:r>
    </w:p>
    <w:p w14:paraId="07AA4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5.冷链行业：</w:t>
      </w:r>
      <w:r>
        <w:rPr>
          <w:rFonts w:hint="eastAsia" w:ascii="仿宋_GB2312" w:hAnsi="仿宋_GB2312" w:eastAsia="仿宋_GB2312" w:cs="仿宋_GB2312"/>
          <w:sz w:val="28"/>
          <w:szCs w:val="36"/>
        </w:rPr>
        <w:t>需低温存储的企业（如生鲜电商、医药流通、速冻食品厂商）；</w:t>
      </w:r>
    </w:p>
    <w:p w14:paraId="25D41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6.其他：</w:t>
      </w:r>
      <w:r>
        <w:rPr>
          <w:rFonts w:hint="eastAsia" w:ascii="仿宋_GB2312" w:hAnsi="仿宋_GB2312" w:eastAsia="仿宋_GB2312" w:cs="仿宋_GB2312"/>
          <w:sz w:val="28"/>
          <w:szCs w:val="36"/>
        </w:rPr>
        <w:t>需注明具体类型（如农业合作社、跨境贸易商等）。</w:t>
      </w:r>
    </w:p>
    <w:p w14:paraId="76C9C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）附加服务（S5）</w:t>
      </w:r>
    </w:p>
    <w:p w14:paraId="66EAF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1.分拣包装：</w:t>
      </w:r>
      <w:r>
        <w:rPr>
          <w:rFonts w:hint="eastAsia" w:ascii="仿宋_GB2312" w:hAnsi="仿宋_GB2312" w:eastAsia="仿宋_GB2312" w:cs="仿宋_GB2312"/>
          <w:sz w:val="28"/>
          <w:szCs w:val="36"/>
        </w:rPr>
        <w:t>对货物按订单分类、组合、打包（含贴标、质检等）；</w:t>
      </w:r>
    </w:p>
    <w:p w14:paraId="6CEF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2.运输配送：</w:t>
      </w:r>
      <w:r>
        <w:rPr>
          <w:rFonts w:hint="eastAsia" w:ascii="仿宋_GB2312" w:hAnsi="仿宋_GB2312" w:eastAsia="仿宋_GB2312" w:cs="仿宋_GB2312"/>
          <w:sz w:val="28"/>
          <w:szCs w:val="36"/>
        </w:rPr>
        <w:t>从仓库到客户的短途运输（如同城配送、区域调拨）；</w:t>
      </w:r>
    </w:p>
    <w:p w14:paraId="4B078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3.仓配一体：</w:t>
      </w:r>
      <w:r>
        <w:rPr>
          <w:rFonts w:hint="eastAsia" w:ascii="仿宋_GB2312" w:hAnsi="仿宋_GB2312" w:eastAsia="仿宋_GB2312" w:cs="仿宋_GB2312"/>
          <w:sz w:val="28"/>
          <w:szCs w:val="36"/>
        </w:rPr>
        <w:t>仓储与运输配送一体化服务（如“入仓即配送”模式）；</w:t>
      </w:r>
    </w:p>
    <w:p w14:paraId="2A815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4.其他：</w:t>
      </w:r>
      <w:r>
        <w:rPr>
          <w:rFonts w:hint="eastAsia" w:ascii="仿宋_GB2312" w:hAnsi="仿宋_GB2312" w:eastAsia="仿宋_GB2312" w:cs="仿宋_GB2312"/>
          <w:sz w:val="28"/>
          <w:szCs w:val="36"/>
        </w:rPr>
        <w:t>需注明（如库存管理咨询、供应链金融辅助、货物保险代理等）。</w:t>
      </w:r>
    </w:p>
    <w:p w14:paraId="27D01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）仓储作业方式（S6）</w:t>
      </w:r>
    </w:p>
    <w:p w14:paraId="304CA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1.手工作业为主：</w:t>
      </w:r>
      <w:r>
        <w:rPr>
          <w:rFonts w:hint="eastAsia" w:ascii="仿宋_GB2312" w:hAnsi="仿宋_GB2312" w:eastAsia="仿宋_GB2312" w:cs="仿宋_GB2312"/>
          <w:sz w:val="28"/>
          <w:szCs w:val="36"/>
        </w:rPr>
        <w:t>主要依赖人工搬运、记录（如无机械辅助，靠人力+手写单据）；</w:t>
      </w:r>
    </w:p>
    <w:p w14:paraId="2E33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2.机械化作业+人工信息处理：</w:t>
      </w:r>
      <w:r>
        <w:rPr>
          <w:rFonts w:hint="eastAsia" w:ascii="仿宋_GB2312" w:hAnsi="仿宋_GB2312" w:eastAsia="仿宋_GB2312" w:cs="仿宋_GB2312"/>
          <w:sz w:val="28"/>
          <w:szCs w:val="36"/>
        </w:rPr>
        <w:t>使用叉车、地牛等机械，但库存、订单等信息靠人工录入/纸质记录；</w:t>
      </w:r>
    </w:p>
    <w:p w14:paraId="2BE9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3.机械化作业+系统管理：</w:t>
      </w:r>
      <w:r>
        <w:rPr>
          <w:rFonts w:hint="eastAsia" w:ascii="仿宋_GB2312" w:hAnsi="仿宋_GB2312" w:eastAsia="仿宋_GB2312" w:cs="仿宋_GB2312"/>
          <w:sz w:val="28"/>
          <w:szCs w:val="36"/>
        </w:rPr>
        <w:t>机械作业为主，且通过仓储管理系统（WMS）记录信息、管理作业；</w:t>
      </w:r>
    </w:p>
    <w:p w14:paraId="2220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4.自动化作业+系统管理：</w:t>
      </w:r>
      <w:r>
        <w:rPr>
          <w:rFonts w:hint="eastAsia" w:ascii="仿宋_GB2312" w:hAnsi="仿宋_GB2312" w:eastAsia="仿宋_GB2312" w:cs="仿宋_GB2312"/>
          <w:sz w:val="28"/>
          <w:szCs w:val="36"/>
        </w:rPr>
        <w:t>使用传送带、自动分拣机等自动化设备，配合系统全程管理；</w:t>
      </w:r>
    </w:p>
    <w:p w14:paraId="1DB85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5.智能仓储系统：</w:t>
      </w:r>
      <w:r>
        <w:rPr>
          <w:rFonts w:hint="eastAsia" w:ascii="仿宋_GB2312" w:hAnsi="仿宋_GB2312" w:eastAsia="仿宋_GB2312" w:cs="仿宋_GB2312"/>
          <w:sz w:val="28"/>
          <w:szCs w:val="36"/>
        </w:rPr>
        <w:t>实现无人化（如AGV机器人）、库存可追溯（扫码/RFID跟踪）、上下游数据互联（与客户/供应商系统对接）。</w:t>
      </w:r>
    </w:p>
    <w:p w14:paraId="3EEF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二、企业经营指标（Q1）</w:t>
      </w:r>
    </w:p>
    <w:p w14:paraId="73043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年平均从业人数：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员工平均数（含在岗合同制职工、临时工、外聘离退休人员、兼职人员等，但需排除签订劳务外包合同的人员、停薪留职或保留劳动关系但未实际在岗的职工），计算公式：（年初人数+年末人数）÷2或每月人数总和÷12。</w:t>
      </w:r>
    </w:p>
    <w:p w14:paraId="28CF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仓储配送岗位从业人数：</w:t>
      </w:r>
      <w:r>
        <w:rPr>
          <w:rFonts w:hint="eastAsia" w:ascii="仿宋_GB2312" w:hAnsi="仿宋_GB2312" w:eastAsia="仿宋_GB2312" w:cs="仿宋_GB2312"/>
          <w:sz w:val="28"/>
          <w:szCs w:val="36"/>
        </w:rPr>
        <w:t>专门负责仓储（入库、上架、盘点等）和配送（装车、运输跟进等）的岗位人员，不含行政、财务等非业务岗。</w:t>
      </w:r>
    </w:p>
    <w:p w14:paraId="31FD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资产总计/固定资产/负债合计：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按企业年度财务报表数据填写（资产总计=负债合计+所有者权益）。</w:t>
      </w:r>
    </w:p>
    <w:p w14:paraId="0DC9A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主营业务收入及细分：</w:t>
      </w:r>
      <w:r>
        <w:rPr>
          <w:rFonts w:hint="eastAsia" w:ascii="仿宋_GB2312" w:hAnsi="仿宋_GB2312" w:eastAsia="仿宋_GB2312" w:cs="仿宋_GB2312"/>
          <w:sz w:val="28"/>
          <w:szCs w:val="36"/>
        </w:rPr>
        <w:t>需满足“主营业务收入=仓储收入+配送收入+其他收入”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251D8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仓储收入细分：</w:t>
      </w:r>
    </w:p>
    <w:p w14:paraId="1DCF2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仓库租金及服务费：</w:t>
      </w:r>
      <w:r>
        <w:rPr>
          <w:rFonts w:hint="eastAsia" w:ascii="仿宋_GB2312" w:hAnsi="仿宋_GB2312" w:eastAsia="仿宋_GB2312" w:cs="仿宋_GB2312"/>
          <w:sz w:val="28"/>
          <w:szCs w:val="36"/>
        </w:rPr>
        <w:t>出租仓库的租金+仓储相关服务（如入库管理）收费；</w:t>
      </w:r>
    </w:p>
    <w:p w14:paraId="6AA7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加工包装收入：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对货物加工（如贴标）、包装的收费；</w:t>
      </w:r>
    </w:p>
    <w:p w14:paraId="7867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装卸搬运收入：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货物装卸、搬运的服务收费；</w:t>
      </w:r>
    </w:p>
    <w:p w14:paraId="4DC9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担保存货管理收入：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为担保存货（如质押物）提供管理的收费；</w:t>
      </w:r>
    </w:p>
    <w:p w14:paraId="01663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其他仓储业务收入：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上述未涵盖的仓储相关收入（需注明）。</w:t>
      </w:r>
    </w:p>
    <w:p w14:paraId="3B7C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货物吞吐量：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全年经仓库进出的货物总重量（含入库、出库，单位：吨），必须大于0。</w:t>
      </w:r>
    </w:p>
    <w:p w14:paraId="48BA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平均库存量：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全年平均库存货物重量，计算公式：（月初库存+月末库存）÷2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36"/>
        </w:rPr>
        <w:t>逐月累计后÷12。</w:t>
      </w:r>
    </w:p>
    <w:p w14:paraId="2CCB3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8.加工包装量：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经过加工处理和包装作业的货物重量，例如：某电商仓储企业为客户提供“商品贴快递面单+分装成小包裹”服务，2024年全年处理的此类货物总重量为 5000 吨，则其“加工包装量”填5000吨。</w:t>
      </w:r>
    </w:p>
    <w:p w14:paraId="17A0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担保存货贷款总额：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以仓库内担保存货为抵押的贷款总金额。</w:t>
      </w:r>
    </w:p>
    <w:p w14:paraId="16870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三、仓储业务指标（Q2-Q4）</w:t>
      </w:r>
    </w:p>
    <w:p w14:paraId="44320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库区/配送中心分布城市数量：</w:t>
      </w:r>
      <w:r>
        <w:rPr>
          <w:rFonts w:hint="eastAsia" w:ascii="仿宋_GB2312" w:hAnsi="仿宋_GB2312" w:eastAsia="仿宋_GB2312" w:cs="仿宋_GB2312"/>
          <w:sz w:val="28"/>
          <w:szCs w:val="36"/>
        </w:rPr>
        <w:t>仓库或配送中心所在的不同城市个数（如厦门、泉州各1个，填“2”）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78A6E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立体库：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指采用高层货架（通常高度在5米以上）结合巷道式堆垛起重机、叉车等机械或自动化设备进行货物存取作业的仓库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4FE20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楼房库：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指多层建筑结构的仓库，通过楼梯、电梯或货梯连接各楼层，每层均可用于货物存储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15209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平房库：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指单层建筑结构的仓库，无楼层划分，地面平整开阔，货物搬运无需上下楼层，作业便捷性较高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642BA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冷却物冷库：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指具备制冷系统，用于存储需低温保鲜但未冻结货物的仓库，温度一般控制在0℃-10℃（具体依货物需求调整）。主要用于存储新鲜水果、蔬菜、乳制品、医药制品等需冷藏保鲜的货物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7F78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冻结物冷库：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指具备低温制冷系统，用于存储已冻结货物的仓库，温度通常控制在-18℃及以下（部分特殊货物需更低温度）。主要用于存储冷冻肉类、海鲜、速冻食品等需长期冷冻保存的货物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49D15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仓库租金：</w:t>
      </w:r>
      <w:r>
        <w:rPr>
          <w:rFonts w:hint="eastAsia" w:ascii="仿宋_GB2312" w:hAnsi="仿宋_GB2312" w:eastAsia="仿宋_GB2312" w:cs="仿宋_GB2312"/>
          <w:sz w:val="28"/>
          <w:szCs w:val="36"/>
        </w:rPr>
        <w:t>每平方米每天的租金（元/㎡/天），按实际收取的租金计算（如立体库月租金30元/㎡，则日均为30÷30=1元/㎡/天）。</w:t>
      </w:r>
    </w:p>
    <w:p w14:paraId="3B6CC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仓库空置率：</w:t>
      </w:r>
      <w:r>
        <w:rPr>
          <w:rFonts w:hint="eastAsia" w:ascii="仿宋_GB2312" w:hAnsi="仿宋_GB2312" w:eastAsia="仿宋_GB2312" w:cs="仿宋_GB2312"/>
          <w:sz w:val="28"/>
          <w:szCs w:val="36"/>
        </w:rPr>
        <w:t>空置面积占总可用面积的比例（%），计算公式：（空置面积÷总可用面积）×100%。</w:t>
      </w:r>
    </w:p>
    <w:p w14:paraId="523CA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四：配送及标准化指标（Q5-Q7）</w:t>
      </w:r>
    </w:p>
    <w:p w14:paraId="5A8C7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辐射地级及以上市（区）：</w:t>
      </w:r>
      <w:r>
        <w:rPr>
          <w:rFonts w:hint="eastAsia" w:ascii="仿宋_GB2312" w:hAnsi="仿宋_GB2312" w:eastAsia="仿宋_GB2312" w:cs="仿宋_GB2312"/>
          <w:sz w:val="28"/>
          <w:szCs w:val="36"/>
        </w:rPr>
        <w:t>配送可到达的地级市、直辖市的区（如福州市、上海市浦东新区，各算1个）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5E33F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辐射县（区、镇）：</w:t>
      </w:r>
      <w:r>
        <w:rPr>
          <w:rFonts w:hint="eastAsia" w:ascii="仿宋_GB2312" w:hAnsi="仿宋_GB2312" w:eastAsia="仿宋_GB2312" w:cs="仿宋_GB2312"/>
          <w:sz w:val="28"/>
          <w:szCs w:val="36"/>
        </w:rPr>
        <w:t>配送可到达的县、县级区、乡镇（如闽侯县、集美区、马巷镇，各算1个）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6FE6A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配送终端客户：</w:t>
      </w:r>
      <w:r>
        <w:rPr>
          <w:rFonts w:hint="eastAsia" w:ascii="仿宋_GB2312" w:hAnsi="仿宋_GB2312" w:eastAsia="仿宋_GB2312" w:cs="仿宋_GB2312"/>
          <w:sz w:val="28"/>
          <w:szCs w:val="36"/>
        </w:rPr>
        <w:t>直接配送的最终客户（如超市、消费者，不含中间经销商）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0EB8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配送量：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全年配送货物总重量。</w:t>
      </w:r>
    </w:p>
    <w:p w14:paraId="0BB7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满载率：</w:t>
      </w:r>
      <w:r>
        <w:rPr>
          <w:rFonts w:hint="eastAsia" w:ascii="仿宋_GB2312" w:hAnsi="仿宋_GB2312" w:eastAsia="仿宋_GB2312" w:cs="仿宋_GB2312"/>
          <w:sz w:val="28"/>
          <w:szCs w:val="36"/>
        </w:rPr>
        <w:t>（实际装载量÷车辆最大装载量）×100%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51752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回程空驶率：</w:t>
      </w:r>
      <w:r>
        <w:rPr>
          <w:rFonts w:hint="eastAsia" w:ascii="仿宋_GB2312" w:hAnsi="仿宋_GB2312" w:eastAsia="仿宋_GB2312" w:cs="仿宋_GB2312"/>
          <w:sz w:val="28"/>
          <w:szCs w:val="36"/>
        </w:rPr>
        <w:t>（回程空驶里程÷回程总里程）×100%。</w:t>
      </w:r>
    </w:p>
    <w:p w14:paraId="3C311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标准托盘：</w:t>
      </w:r>
      <w:r>
        <w:rPr>
          <w:rFonts w:hint="eastAsia" w:ascii="仿宋_GB2312" w:hAnsi="仿宋_GB2312" w:eastAsia="仿宋_GB2312" w:cs="仿宋_GB2312"/>
          <w:sz w:val="28"/>
          <w:szCs w:val="36"/>
        </w:rPr>
        <w:t>是具有统一尺寸规格（如常见的1200mm×1000mm等国家标准或行业通用标准）的载货平台，用于集装、堆放、搬运和运输货物，可配合叉车等设备实现机械化作业，便于货物标准化流转和高效管理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6F38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标准周转箱：</w:t>
      </w:r>
      <w:r>
        <w:rPr>
          <w:rFonts w:hint="eastAsia" w:ascii="仿宋_GB2312" w:hAnsi="仿宋_GB2312" w:eastAsia="仿宋_GB2312" w:cs="仿宋_GB2312"/>
          <w:sz w:val="28"/>
          <w:szCs w:val="36"/>
        </w:rPr>
        <w:t>是符合统一规格标准（如尺寸、承重、材料等符合国家/行业规范）的可循环使用的容器，用于货物的存储、搬运和配送，具备堆叠性好、便于统一管理等特点，常见于生鲜、电商、制造业等场景的货物周转。</w:t>
      </w:r>
    </w:p>
    <w:p w14:paraId="1C3A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带托盘配送比例：</w:t>
      </w:r>
      <w:r>
        <w:rPr>
          <w:rFonts w:hint="eastAsia" w:ascii="仿宋_GB2312" w:hAnsi="仿宋_GB2312" w:eastAsia="仿宋_GB2312" w:cs="仿宋_GB2312"/>
          <w:sz w:val="28"/>
          <w:szCs w:val="36"/>
        </w:rPr>
        <w:t>用托盘/周转箱配送的货物量÷总配送量×100%。</w:t>
      </w:r>
    </w:p>
    <w:p w14:paraId="68C0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五、企业发展状况及评价（Q8-Q29）</w:t>
      </w:r>
    </w:p>
    <w:p w14:paraId="2839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）劳动力需求（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Q16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</w:t>
      </w:r>
    </w:p>
    <w:p w14:paraId="7DB7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技术型人才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指具备仓储相关专业技术知识，能解决技术类问题或操作技术设备的人才，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仓储管理系统（WMS）运维工程师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自动化仓储设备技术员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冷链冷库制冷系统技术员等。</w:t>
      </w:r>
    </w:p>
    <w:p w14:paraId="5ED0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操作型人才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指直接从事仓储一线具体操作工作，具备实操技能的人员，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叉车司机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仓库分拣员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打包员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冷库理货员等。</w:t>
      </w:r>
    </w:p>
    <w:p w14:paraId="5FA6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管理型人才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指负责仓储业务规划、团队协调、流程优化等管理工作的人员，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仓库主管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供应链仓储经理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库存管理专员等。</w:t>
      </w:r>
    </w:p>
    <w:p w14:paraId="06DA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复合型人才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指兼具两种及以上领域技能（如技术+管理、操作+技术等）的综合型人才，核心是“跨领域能力融合”。</w:t>
      </w:r>
    </w:p>
    <w:p w14:paraId="57AD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）政策支持（Q23）</w:t>
      </w:r>
    </w:p>
    <w:p w14:paraId="396C7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1.简政放权：</w:t>
      </w:r>
      <w:r>
        <w:rPr>
          <w:rFonts w:hint="eastAsia" w:ascii="仿宋_GB2312" w:hAnsi="仿宋_GB2312" w:eastAsia="仿宋_GB2312" w:cs="仿宋_GB2312"/>
          <w:sz w:val="28"/>
          <w:szCs w:val="36"/>
        </w:rPr>
        <w:t>政府简化行政审批、优化营商环境的政策，如减少仓储经营许可流程、压缩审批时间等。</w:t>
      </w:r>
    </w:p>
    <w:p w14:paraId="323D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2.创新支持：</w:t>
      </w:r>
      <w:r>
        <w:rPr>
          <w:rFonts w:hint="eastAsia" w:ascii="仿宋_GB2312" w:hAnsi="仿宋_GB2312" w:eastAsia="仿宋_GB2312" w:cs="仿宋_GB2312"/>
          <w:sz w:val="28"/>
          <w:szCs w:val="36"/>
        </w:rPr>
        <w:t>政府对技术改造、智能化升级等创新行为的资金补贴、专项奖励或项目扶持。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某企业投入500万元改造自动化仓库，获100万元补贴。</w:t>
      </w:r>
    </w:p>
    <w:p w14:paraId="11BB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3.减税降费：</w:t>
      </w:r>
      <w:r>
        <w:rPr>
          <w:rFonts w:hint="eastAsia" w:ascii="仿宋_GB2312" w:hAnsi="仿宋_GB2312" w:eastAsia="仿宋_GB2312" w:cs="仿宋_GB2312"/>
          <w:sz w:val="28"/>
          <w:szCs w:val="36"/>
        </w:rPr>
        <w:t>通过税收减免、费用降低直接减轻企业负担的政策（如增值税减免、房产税优惠等）。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</w:t>
      </w:r>
      <w:r>
        <w:rPr>
          <w:rFonts w:hint="eastAsia" w:ascii="仿宋_GB2312" w:hAnsi="仿宋_GB2312" w:eastAsia="仿宋_GB2312" w:cs="仿宋_GB2312"/>
          <w:sz w:val="28"/>
          <w:szCs w:val="36"/>
        </w:rPr>
        <w:t>：某仓储企业2024年投入100万元研发库存可视化系统，按120%加计扣除，少缴企业所得税24万元；年应纳税所得额300万元以下的仓储企业，房产税、城镇土地使用税减免50%。</w:t>
      </w:r>
    </w:p>
    <w:p w14:paraId="641C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4.降息：</w:t>
      </w:r>
      <w:r>
        <w:rPr>
          <w:rFonts w:hint="eastAsia" w:ascii="仿宋_GB2312" w:hAnsi="仿宋_GB2312" w:eastAsia="仿宋_GB2312" w:cs="仿宋_GB2312"/>
          <w:sz w:val="28"/>
          <w:szCs w:val="36"/>
        </w:rPr>
        <w:t>央行降低基准利率，降低企业融资成本（如贷款利息减少）。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某仓储企业2024年通过“设备更新专项贷款”以3.5%利率（较2023年降0.5%）融资2000万元，新建立体库，每年利息减少10万元；。</w:t>
      </w:r>
    </w:p>
    <w:p w14:paraId="6CCC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5.促进外贸稳定增长政策</w:t>
      </w:r>
      <w:r>
        <w:rPr>
          <w:rFonts w:hint="eastAsia" w:ascii="仿宋_GB2312" w:hAnsi="仿宋_GB2312" w:eastAsia="仿宋_GB2312" w:cs="仿宋_GB2312"/>
          <w:sz w:val="28"/>
          <w:szCs w:val="36"/>
        </w:rPr>
        <w:t>：支持进出口、跨境物流的政策（如退税优化、跨境仓储补贴等）。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</w:t>
      </w:r>
      <w:r>
        <w:rPr>
          <w:rFonts w:hint="eastAsia" w:ascii="仿宋_GB2312" w:hAnsi="仿宋_GB2312" w:eastAsia="仿宋_GB2312" w:cs="仿宋_GB2312"/>
          <w:sz w:val="28"/>
          <w:szCs w:val="36"/>
        </w:rPr>
        <w:t>：某企业租用海外仓2000㎡，年获补贴24万元）。</w:t>
      </w:r>
    </w:p>
    <w:p w14:paraId="11D02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6.“互联网+”扶持政策：</w:t>
      </w:r>
      <w:r>
        <w:rPr>
          <w:rFonts w:hint="eastAsia" w:ascii="仿宋_GB2312" w:hAnsi="仿宋_GB2312" w:eastAsia="仿宋_GB2312" w:cs="仿宋_GB2312"/>
          <w:sz w:val="28"/>
          <w:szCs w:val="36"/>
        </w:rPr>
        <w:t>推动仓储与数字化、物联网结合的政策（如补贴仓储管理系统建设、支持“仓配一体”数字化平台）。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某企业获补贴45万元，用于升级智能仓储系统。</w:t>
      </w:r>
    </w:p>
    <w:p w14:paraId="0A76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）建议（Q2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</w:t>
      </w:r>
    </w:p>
    <w:p w14:paraId="593AC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可填写政策需求（如希望加大数字化补贴）、行业支持（如完善物流基础设施）等具体内容。</w:t>
      </w:r>
    </w:p>
    <w:p w14:paraId="3DE29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18C6"/>
    <w:rsid w:val="1BE30F45"/>
    <w:rsid w:val="39674039"/>
    <w:rsid w:val="478832E0"/>
    <w:rsid w:val="70C50B1F"/>
    <w:rsid w:val="71F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3107</Words>
  <Characters>3277</Characters>
  <Lines>0</Lines>
  <Paragraphs>0</Paragraphs>
  <TotalTime>22</TotalTime>
  <ScaleCrop>false</ScaleCrop>
  <LinksUpToDate>false</LinksUpToDate>
  <CharactersWithSpaces>3277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2025-07-30T00:45:00Z</dcterms:created>
  <dc:creator>言落</dc:creator>
  <cp:lastModifiedBy>言落</cp:lastModifiedBy>
  <dcterms:modified xsi:type="dcterms:W3CDTF">2025-08-13T08:12:43Z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C3C6BA32433E48D1ACEC57191F5B82C8_11</vt:lpwstr>
  </property>
  <property fmtid="{D5CDD505-2E9C-101B-9397-08002B2CF9AE}" pid="4" name="KSOTemplateDocerSaveRecord">
    <vt:lpwstr>eyJoZGlkIjoiZTJiYWQ3ODE0OTYzNGYxZDI0MTJiYTE2MGJjNjM5M2UiLCJ1c2VySWQiOiI1NzU3NTUzNzgifQ==</vt:lpwstr>
  </property>
</Properties>
</file>