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A45C3D">
      <w:pPr>
        <w:jc w:val="both"/>
        <w:rPr>
          <w:rFonts w:hint="default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附件2</w:t>
      </w:r>
      <w:bookmarkStart w:id="0" w:name="_GoBack"/>
      <w:bookmarkEnd w:id="0"/>
    </w:p>
    <w:p w14:paraId="542DDF20">
      <w:pPr>
        <w:jc w:val="both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</w:p>
    <w:p w14:paraId="244B10DE">
      <w:pPr>
        <w:spacing w:line="240" w:lineRule="auto"/>
        <w:jc w:val="center"/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  <w:t>参加电动自行车以旧换新工作回收企业承诺书</w:t>
      </w:r>
    </w:p>
    <w:p w14:paraId="16BF3CEB">
      <w:pPr>
        <w:spacing w:line="240" w:lineRule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74EAFE9D"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我单位作为回收企业，自愿参加电动自行车以旧换新，经批准后，承担老旧电动自行车报废回收任务，现郑重承诺如下：</w:t>
      </w:r>
    </w:p>
    <w:p w14:paraId="49CEE420"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1.本单位依法合规设立，具备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相应回收资质。</w:t>
      </w:r>
    </w:p>
    <w:p w14:paraId="7A357A3F"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2.按照公允原则回收消费者交售的报废老旧电动自行车，保证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价格公平、不操纵市场，不串通压价。</w:t>
      </w:r>
    </w:p>
    <w:p w14:paraId="757B9E74"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妥善处理报废旧车，及时到销售门店接收、清运以旧换新活动回收的报废车辆，完善交接登记手续，其蓄电池应做到“一日一清”，确保安全。</w:t>
      </w:r>
    </w:p>
    <w:p w14:paraId="070A91CA"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4.保证对回收的报废老旧电动自行车及自带的锂离子蓄电池、铅酸蓄电池，交由具备资质的拆解或综合利用企业进行专业处置，不非法拆解处理。</w:t>
      </w:r>
    </w:p>
    <w:p w14:paraId="0A5ABE91"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5.保证以旧换新活动回收的车架、锂离子蓄电池、铅酸蓄电池未经我单位流入二手市场、改装黑作坊和骗补，严防发生安全事故。</w:t>
      </w:r>
    </w:p>
    <w:p w14:paraId="66FE1181"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6.接受资质审批的行业主管部门监督管理，以及电动自行车以旧换新工作牵头部门的工作指导，落实各项工作要求。</w:t>
      </w:r>
    </w:p>
    <w:p w14:paraId="73B0C943">
      <w:pPr>
        <w:spacing w:line="240" w:lineRule="auto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如果违反以上承诺，本企业愿意无条件承担相应后果和法律责任。</w:t>
      </w:r>
    </w:p>
    <w:p w14:paraId="6D300DAA">
      <w:pPr>
        <w:spacing w:line="240" w:lineRule="auto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540F7405">
      <w:pPr>
        <w:spacing w:line="240" w:lineRule="auto"/>
        <w:ind w:firstLine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承诺企业（盖章）：</w:t>
      </w:r>
    </w:p>
    <w:p w14:paraId="30A5AB50">
      <w:pPr>
        <w:spacing w:line="240" w:lineRule="auto"/>
        <w:ind w:firstLine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法人代表（签字）：</w:t>
      </w:r>
    </w:p>
    <w:p w14:paraId="05C13A26">
      <w:pPr>
        <w:spacing w:line="240" w:lineRule="auto"/>
        <w:ind w:firstLine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856890B">
      <w:pPr>
        <w:spacing w:line="240" w:lineRule="auto"/>
        <w:ind w:firstLine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D4EF9A3">
      <w:pPr>
        <w:spacing w:line="240" w:lineRule="auto"/>
        <w:ind w:firstLine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2025年  月   日</w:t>
      </w:r>
    </w:p>
    <w:p w14:paraId="7451132C"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olor w:val="000000"/>
          <w:spacing w:val="0"/>
          <w:kern w:val="0"/>
          <w:sz w:val="32"/>
          <w:szCs w:val="32"/>
          <w:highlight w:val="none"/>
          <w:shd w:val="clear" w:color="auto" w:fill="auto"/>
          <w:lang w:val="en-US" w:eastAsia="zh-CN" w:bidi="ar"/>
        </w:rPr>
      </w:pPr>
    </w:p>
    <w:p w14:paraId="27F32D2B"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olor w:val="000000"/>
          <w:spacing w:val="0"/>
          <w:kern w:val="0"/>
          <w:sz w:val="32"/>
          <w:szCs w:val="32"/>
          <w:highlight w:val="none"/>
          <w:shd w:val="clear" w:color="auto" w:fill="auto"/>
          <w:lang w:val="en-US" w:eastAsia="zh-CN" w:bidi="ar"/>
        </w:rPr>
      </w:pPr>
    </w:p>
    <w:p w14:paraId="7F090A02"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olor w:val="000000"/>
          <w:spacing w:val="0"/>
          <w:kern w:val="0"/>
          <w:sz w:val="32"/>
          <w:szCs w:val="32"/>
          <w:highlight w:val="none"/>
          <w:shd w:val="clear" w:color="auto" w:fill="auto"/>
          <w:lang w:val="en-US" w:eastAsia="zh-CN" w:bidi="ar"/>
        </w:rPr>
      </w:pPr>
    </w:p>
    <w:p w14:paraId="6AA51496"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eastAsia" w:ascii="Times New Roman" w:hAnsi="Times New Roman" w:cs="Times New Roman"/>
          <w:b w:val="0"/>
          <w:bCs w:val="0"/>
          <w:i w:val="0"/>
          <w:color w:val="000000"/>
          <w:spacing w:val="0"/>
          <w:kern w:val="0"/>
          <w:sz w:val="32"/>
          <w:szCs w:val="32"/>
          <w:highlight w:val="none"/>
          <w:shd w:val="clear" w:color="auto" w:fill="auto"/>
          <w:lang w:val="en-US" w:eastAsia="zh-CN" w:bidi="ar"/>
        </w:rPr>
      </w:pPr>
    </w:p>
    <w:p w14:paraId="5F22D097"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Times New Roman" w:hAnsi="Times New Roman" w:cs="Times New Roman"/>
          <w:b w:val="0"/>
          <w:bCs w:val="0"/>
          <w:i w:val="0"/>
          <w:color w:val="000000"/>
          <w:spacing w:val="0"/>
          <w:kern w:val="0"/>
          <w:sz w:val="32"/>
          <w:szCs w:val="32"/>
          <w:highlight w:val="none"/>
          <w:shd w:val="clear" w:color="auto" w:fill="auto"/>
          <w:lang w:val="en-US" w:eastAsia="zh-CN" w:bidi="ar"/>
        </w:rPr>
      </w:pPr>
    </w:p>
    <w:p w14:paraId="50EA5E41">
      <w:pPr>
        <w:rPr>
          <w:rFonts w:hint="default" w:eastAsia="宋体"/>
          <w:lang w:val="en-US" w:eastAsia="zh-CN"/>
        </w:rPr>
      </w:pPr>
    </w:p>
    <w:p w14:paraId="30722350"/>
    <w:p w14:paraId="6A185E04"/>
    <w:p w14:paraId="467EF383">
      <w:pPr>
        <w:pStyle w:val="2"/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</w:pPr>
    </w:p>
    <w:p w14:paraId="69512163">
      <w:pPr>
        <w:rPr>
          <w:rFonts w:hint="eastAsia" w:ascii="仿宋" w:hAnsi="仿宋" w:eastAsia="仿宋"/>
          <w:sz w:val="32"/>
          <w:szCs w:val="32"/>
        </w:rPr>
      </w:pPr>
    </w:p>
    <w:p w14:paraId="164795CA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汉仪楷体简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E58D51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DF88385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DF88385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EE3AAD"/>
    <w:rsid w:val="46EE3AAD"/>
    <w:rsid w:val="9FD52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0"/>
    <w:pPr>
      <w:widowControl w:val="0"/>
      <w:spacing w:line="400" w:lineRule="exact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_Style 1"/>
    <w:basedOn w:val="1"/>
    <w:qFormat/>
    <w:uiPriority w:val="0"/>
    <w:pPr>
      <w:ind w:firstLine="200" w:firstLineChars="200"/>
    </w:pPr>
    <w:rPr>
      <w:rFonts w:ascii="宋体" w:hAnsi="宋体"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Office_7.4.1.8983_F1E327BC-269C-435d-A152-05C5408002CA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2025-04-08T00:05:00Z</dcterms:created>
  <dc:creator>xmadmin</dc:creator>
  <cp:lastModifiedBy>NAYOUZ</cp:lastModifiedBy>
  <dcterms:modified xsi:type="dcterms:W3CDTF">2025-06-19T19:08:19Z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2052-7.4.1.8983</vt:lpwstr>
  </property>
  <property fmtid="{D5CDD505-2E9C-101B-9397-08002B2CF9AE}" pid="3" name="ICV">
    <vt:lpwstr>12685B71E1819058A3EF5368E3F12EBF_42</vt:lpwstr>
  </property>
</Properties>
</file>