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beforeLines="0" w:afterLines="0" w:line="600" w:lineRule="exact"/>
        <w:jc w:val="center"/>
        <w:textAlignment w:val="baseline"/>
        <w:rPr>
          <w:rFonts w:hint="eastAsia" w:ascii="方正小标宋简体" w:hAnsi="方正小标宋简体" w:eastAsia="方正小标宋简体" w:cs="方正小标宋简体"/>
          <w:sz w:val="44"/>
          <w:szCs w:val="44"/>
          <w:lang w:eastAsia="zh-CN"/>
        </w:rPr>
      </w:pPr>
      <w:bookmarkStart w:id="0" w:name="_GoBack"/>
      <w:bookmarkEnd w:id="0"/>
      <w:r>
        <w:rPr>
          <w:rFonts w:hint="eastAsia" w:ascii="方正小标宋简体" w:hAnsi="方正小标宋简体" w:eastAsia="方正小标宋简体" w:cs="方正小标宋简体"/>
          <w:sz w:val="44"/>
          <w:szCs w:val="44"/>
        </w:rPr>
        <w:t>厦门市</w:t>
      </w:r>
      <w:r>
        <w:rPr>
          <w:rFonts w:hint="eastAsia" w:ascii="方正小标宋简体" w:hAnsi="方正小标宋简体" w:eastAsia="方正小标宋简体" w:cs="方正小标宋简体"/>
          <w:sz w:val="44"/>
          <w:szCs w:val="44"/>
          <w:lang w:eastAsia="zh-CN"/>
        </w:rPr>
        <w:t>国际化消费环境建设试点</w:t>
      </w:r>
    </w:p>
    <w:p>
      <w:pPr>
        <w:overflowPunct w:val="0"/>
        <w:adjustRightInd w:val="0"/>
        <w:snapToGrid w:val="0"/>
        <w:spacing w:beforeLines="0" w:afterLines="0" w:line="600" w:lineRule="exact"/>
        <w:jc w:val="center"/>
        <w:textAlignment w:val="baseline"/>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w:t>
      </w:r>
      <w:r>
        <w:rPr>
          <w:rFonts w:hint="eastAsia" w:ascii="方正小标宋简体" w:hAnsi="方正小标宋简体" w:eastAsia="方正小标宋简体" w:cs="方正小标宋简体"/>
          <w:sz w:val="44"/>
          <w:szCs w:val="44"/>
          <w:lang w:val="en-US" w:eastAsia="zh-CN"/>
        </w:rPr>
        <w:t>专项</w:t>
      </w:r>
      <w:r>
        <w:rPr>
          <w:rFonts w:hint="eastAsia" w:ascii="方正小标宋简体" w:hAnsi="方正小标宋简体" w:eastAsia="方正小标宋简体" w:cs="方正小标宋简体"/>
          <w:sz w:val="44"/>
          <w:szCs w:val="44"/>
        </w:rPr>
        <w:t>资金管理办法</w:t>
      </w:r>
    </w:p>
    <w:p>
      <w:pPr>
        <w:overflowPunct w:val="0"/>
        <w:adjustRightInd w:val="0"/>
        <w:snapToGrid w:val="0"/>
        <w:spacing w:beforeLines="0" w:afterLines="0" w:line="600" w:lineRule="exact"/>
        <w:jc w:val="center"/>
        <w:textAlignment w:val="baseline"/>
        <w:rPr>
          <w:rFonts w:hint="eastAsia" w:ascii="楷体" w:hAnsi="楷体" w:eastAsia="楷体" w:cs="楷体"/>
          <w:sz w:val="44"/>
          <w:szCs w:val="44"/>
          <w:lang w:eastAsia="zh-CN"/>
        </w:rPr>
      </w:pPr>
      <w:r>
        <w:rPr>
          <w:rFonts w:hint="eastAsia" w:ascii="楷体" w:hAnsi="楷体" w:eastAsia="楷体" w:cs="楷体"/>
          <w:sz w:val="44"/>
          <w:szCs w:val="44"/>
          <w:lang w:eastAsia="zh-CN"/>
        </w:rPr>
        <w:t>（征求意见稿）</w:t>
      </w:r>
    </w:p>
    <w:p>
      <w:pPr>
        <w:overflowPunct w:val="0"/>
        <w:adjustRightInd w:val="0"/>
        <w:snapToGrid w:val="0"/>
        <w:spacing w:beforeLines="0" w:afterLines="0" w:line="600" w:lineRule="exact"/>
        <w:jc w:val="center"/>
        <w:textAlignment w:val="baseline"/>
        <w:rPr>
          <w:rFonts w:hint="eastAsia" w:ascii="黑体" w:hAnsi="黑体" w:eastAsia="黑体" w:cs="黑体"/>
          <w:sz w:val="84"/>
          <w:szCs w:val="84"/>
        </w:rPr>
      </w:pPr>
    </w:p>
    <w:p>
      <w:pPr>
        <w:keepNext w:val="0"/>
        <w:keepLines w:val="0"/>
        <w:pageBreakBefore w:val="0"/>
        <w:kinsoku/>
        <w:wordWrap/>
        <w:overflowPunct w:val="0"/>
        <w:topLinePunct w:val="0"/>
        <w:autoSpaceDE/>
        <w:autoSpaceDN/>
        <w:bidi w:val="0"/>
        <w:adjustRightInd w:val="0"/>
        <w:snapToGrid w:val="0"/>
        <w:spacing w:beforeLines="0" w:afterLines="0" w:line="600" w:lineRule="exact"/>
        <w:jc w:val="center"/>
        <w:textAlignment w:val="baseline"/>
        <w:rPr>
          <w:rFonts w:hint="eastAsia" w:ascii="仿宋_GB2312" w:hAnsi="仿宋_GB2312" w:cs="仿宋_GB2312"/>
          <w:sz w:val="32"/>
          <w:szCs w:val="32"/>
        </w:rPr>
      </w:pPr>
      <w:r>
        <w:rPr>
          <w:rFonts w:hint="eastAsia" w:ascii="黑体" w:hAnsi="黑体" w:eastAsia="黑体" w:cs="黑体"/>
          <w:sz w:val="32"/>
          <w:szCs w:val="32"/>
        </w:rPr>
        <w:t>第一章  总  则</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rPr>
      </w:pPr>
      <w:r>
        <w:rPr>
          <w:rFonts w:hint="eastAsia" w:ascii="黑体" w:hAnsi="黑体" w:eastAsia="黑体" w:cs="黑体"/>
          <w:bCs/>
          <w:color w:val="auto"/>
          <w:sz w:val="32"/>
          <w:szCs w:val="32"/>
          <w:highlight w:val="none"/>
        </w:rPr>
        <w:t>第一条</w:t>
      </w:r>
      <w:r>
        <w:rPr>
          <w:rFonts w:hint="eastAsia" w:ascii="黑体" w:hAnsi="黑体" w:eastAsia="黑体" w:cs="黑体"/>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 xml:space="preserve"> 为加强和规范厦门市国际化消费环境建设试点项目</w:t>
      </w:r>
      <w:r>
        <w:rPr>
          <w:rFonts w:hint="eastAsia" w:ascii="仿宋_GB2312" w:hAnsi="仿宋_GB2312" w:eastAsia="仿宋_GB2312" w:cs="仿宋_GB2312"/>
          <w:bCs/>
          <w:color w:val="auto"/>
          <w:sz w:val="32"/>
          <w:szCs w:val="32"/>
          <w:highlight w:val="none"/>
          <w:lang w:eastAsia="zh-CN"/>
        </w:rPr>
        <w:t>（以下简称“试点项目”）</w:t>
      </w:r>
      <w:r>
        <w:rPr>
          <w:rFonts w:hint="eastAsia" w:ascii="仿宋_GB2312" w:hAnsi="仿宋_GB2312" w:eastAsia="仿宋_GB2312" w:cs="仿宋_GB2312"/>
          <w:bCs/>
          <w:color w:val="auto"/>
          <w:sz w:val="32"/>
          <w:szCs w:val="32"/>
          <w:highlight w:val="none"/>
        </w:rPr>
        <w:t>资金管理，提高财政资金使用效益，保障试点工作顺利实施，根据《中华人民共和国预算法》</w:t>
      </w:r>
      <w:r>
        <w:rPr>
          <w:rFonts w:hint="eastAsia" w:ascii="仿宋_GB2312" w:hAnsi="仿宋_GB2312" w:eastAsia="仿宋_GB2312" w:cs="仿宋_GB2312"/>
          <w:bCs/>
          <w:color w:val="auto"/>
          <w:sz w:val="32"/>
          <w:szCs w:val="32"/>
          <w:highlight w:val="none"/>
          <w:lang w:val="en-US" w:eastAsia="zh-CN"/>
        </w:rPr>
        <w:t>《财政部关于印发〈服务业发展资金管理办法〉的通知》</w:t>
      </w:r>
      <w:r>
        <w:rPr>
          <w:rFonts w:hint="eastAsia" w:ascii="仿宋_GB2312" w:hAnsi="仿宋_GB2312" w:eastAsia="仿宋_GB2312" w:cs="仿宋_GB2312"/>
          <w:bCs/>
          <w:color w:val="auto"/>
          <w:sz w:val="32"/>
          <w:szCs w:val="32"/>
          <w:highlight w:val="none"/>
        </w:rPr>
        <w:t>《财政部 商务部关于开展国际化消费环境建设工作的通知》及《厦门市国际化消费环境建设试点城市实施方案》等有关规定，结合本市实际，制定本办法。</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rPr>
      </w:pPr>
      <w:r>
        <w:rPr>
          <w:rFonts w:hint="eastAsia" w:ascii="黑体" w:hAnsi="黑体" w:eastAsia="黑体" w:cs="黑体"/>
          <w:bCs/>
          <w:color w:val="auto"/>
          <w:sz w:val="32"/>
          <w:szCs w:val="32"/>
          <w:highlight w:val="none"/>
        </w:rPr>
        <w:t>第二条</w:t>
      </w:r>
      <w:r>
        <w:rPr>
          <w:rFonts w:hint="eastAsia" w:ascii="仿宋_GB2312" w:hAnsi="仿宋_GB2312" w:eastAsia="仿宋_GB2312" w:cs="仿宋_GB2312"/>
          <w:bCs/>
          <w:color w:val="auto"/>
          <w:sz w:val="32"/>
          <w:szCs w:val="32"/>
          <w:highlight w:val="none"/>
        </w:rPr>
        <w:t xml:space="preserve"> </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本办法所称国际化消费环境建设试点项目</w:t>
      </w:r>
      <w:r>
        <w:rPr>
          <w:rFonts w:hint="eastAsia" w:ascii="仿宋_GB2312" w:hAnsi="仿宋_GB2312" w:eastAsia="仿宋_GB2312" w:cs="仿宋_GB2312"/>
          <w:bCs/>
          <w:color w:val="auto"/>
          <w:sz w:val="32"/>
          <w:szCs w:val="32"/>
          <w:highlight w:val="none"/>
          <w:lang w:val="en-US" w:eastAsia="zh-CN"/>
        </w:rPr>
        <w:t>专项</w:t>
      </w:r>
      <w:r>
        <w:rPr>
          <w:rFonts w:hint="eastAsia" w:ascii="仿宋_GB2312" w:hAnsi="仿宋_GB2312" w:eastAsia="仿宋_GB2312" w:cs="仿宋_GB2312"/>
          <w:bCs/>
          <w:color w:val="auto"/>
          <w:sz w:val="32"/>
          <w:szCs w:val="32"/>
          <w:highlight w:val="none"/>
        </w:rPr>
        <w:t>资金，是指由中央财政补助、市级财政安排及其他渠道筹措，专项用于支持厦门市国际化消费环境建设的资金（以下简称“专项资金”）。</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三</w:t>
      </w:r>
      <w:r>
        <w:rPr>
          <w:rFonts w:hint="eastAsia" w:ascii="黑体" w:hAnsi="黑体" w:eastAsia="黑体" w:cs="黑体"/>
          <w:bCs/>
          <w:color w:val="auto"/>
          <w:sz w:val="32"/>
          <w:szCs w:val="32"/>
          <w:highlight w:val="none"/>
        </w:rPr>
        <w:t xml:space="preserve">条  </w:t>
      </w:r>
      <w:r>
        <w:rPr>
          <w:rFonts w:hint="eastAsia" w:ascii="仿宋_GB2312" w:hAnsi="仿宋_GB2312" w:eastAsia="仿宋_GB2312" w:cs="仿宋_GB2312"/>
          <w:bCs/>
          <w:color w:val="auto"/>
          <w:sz w:val="32"/>
          <w:szCs w:val="32"/>
          <w:highlight w:val="none"/>
        </w:rPr>
        <w:t>专项资金的使用和管理，应当遵循以下原则：</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（一）合理规划，专款专用。按照《厦门市国际化消费环境建设试点城市实施方案》总体要求，合理确定专项资金使用方向，严禁挪用或扩大支出范围，确保专款专用。</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（二）统筹安排，保障重点。财政部门会同业务部门结合本地实际工作需要，统筹安排专项资金，支持落实重点工作任务。</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（三）讲求绩效，量效挂钩。专项资金实施全过程预算绩效管理，建立绩效评价结果与资金分配挂钩机制，实现奖优罚劣、正向激励的导向，提高资金使用效益。</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（四）规范管理，公正透明。坚持制度先行，明确资金申报、审批、分配和拨付的全流程规范，确保程序公开透明。</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jc w:val="left"/>
        <w:textAlignment w:val="auto"/>
        <w:rPr>
          <w:rFonts w:hint="eastAsia" w:ascii="仿宋_GB2312" w:hAnsi="仿宋_GB2312" w:eastAsia="仿宋_GB2312" w:cs="仿宋_GB2312"/>
          <w:bCs/>
          <w:color w:val="auto"/>
          <w:sz w:val="32"/>
          <w:szCs w:val="32"/>
          <w:highlight w:val="none"/>
        </w:rPr>
      </w:pPr>
    </w:p>
    <w:p>
      <w:pPr>
        <w:overflowPunct w:val="0"/>
        <w:adjustRightInd w:val="0"/>
        <w:snapToGrid w:val="0"/>
        <w:spacing w:beforeLines="0" w:afterLines="0" w:line="600" w:lineRule="exact"/>
        <w:jc w:val="center"/>
        <w:textAlignment w:val="baseline"/>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二</w:t>
      </w:r>
      <w:r>
        <w:rPr>
          <w:rFonts w:hint="eastAsia" w:ascii="黑体" w:hAnsi="黑体" w:eastAsia="黑体" w:cs="黑体"/>
          <w:sz w:val="32"/>
          <w:szCs w:val="32"/>
        </w:rPr>
        <w:t>章  管理职责</w:t>
      </w:r>
    </w:p>
    <w:p>
      <w:pPr>
        <w:keepNext w:val="0"/>
        <w:keepLines w:val="0"/>
        <w:pageBreakBefore w:val="0"/>
        <w:widowControl w:val="0"/>
        <w:numPr>
          <w:ilvl w:val="-1"/>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0" w:afterLines="0" w:line="600" w:lineRule="exact"/>
        <w:ind w:firstLine="640" w:firstLineChars="200"/>
        <w:jc w:val="both"/>
        <w:textAlignment w:val="auto"/>
        <w:rPr>
          <w:rFonts w:hint="default" w:ascii="仿宋_GB2312" w:hAnsi="仿宋_GB2312" w:eastAsia="仿宋_GB2312" w:cs="仿宋_GB2312"/>
          <w:bCs/>
          <w:color w:val="auto"/>
          <w:kern w:val="2"/>
          <w:sz w:val="32"/>
          <w:szCs w:val="32"/>
          <w:highlight w:val="none"/>
          <w:lang w:val="en-US" w:eastAsia="zh-CN" w:bidi="ar-SA"/>
        </w:rPr>
      </w:pPr>
      <w:r>
        <w:rPr>
          <w:rFonts w:hint="eastAsia" w:ascii="黑体" w:hAnsi="黑体" w:eastAsia="黑体" w:cs="黑体"/>
          <w:bCs/>
          <w:color w:val="auto"/>
          <w:kern w:val="2"/>
          <w:sz w:val="32"/>
          <w:szCs w:val="32"/>
          <w:highlight w:val="none"/>
          <w:lang w:val="en-US" w:eastAsia="zh-CN" w:bidi="ar-SA"/>
        </w:rPr>
        <w:t>第四条</w:t>
      </w:r>
      <w:r>
        <w:rPr>
          <w:rFonts w:hint="eastAsia" w:ascii="仿宋_GB2312" w:hAnsi="仿宋_GB2312" w:eastAsia="仿宋_GB2312" w:cs="仿宋_GB2312"/>
          <w:bCs/>
          <w:color w:val="auto"/>
          <w:kern w:val="2"/>
          <w:sz w:val="32"/>
          <w:szCs w:val="32"/>
          <w:highlight w:val="none"/>
          <w:lang w:val="en-US" w:eastAsia="zh-CN" w:bidi="ar-SA"/>
        </w:rPr>
        <w:t xml:space="preserve">  建立我市国际化消费环境建设工作协调机制，市政府主要领导统筹协调，明确各单位责任分工，研究完善资金管理制度，确定项目安排，推进项目执行及日常调度等事项。</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0" w:afterLines="0" w:line="600" w:lineRule="exact"/>
        <w:ind w:firstLine="640" w:firstLineChars="200"/>
        <w:jc w:val="both"/>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黑体" w:hAnsi="黑体" w:eastAsia="黑体" w:cs="黑体"/>
          <w:bCs/>
          <w:color w:val="auto"/>
          <w:kern w:val="2"/>
          <w:sz w:val="32"/>
          <w:szCs w:val="32"/>
          <w:highlight w:val="none"/>
          <w:lang w:val="en-US" w:eastAsia="zh-CN" w:bidi="ar-SA"/>
        </w:rPr>
        <w:t>第五条</w:t>
      </w:r>
      <w:r>
        <w:rPr>
          <w:rFonts w:hint="eastAsia" w:ascii="仿宋_GB2312" w:hAnsi="仿宋_GB2312" w:eastAsia="仿宋_GB2312" w:cs="仿宋_GB2312"/>
          <w:bCs/>
          <w:color w:val="auto"/>
          <w:kern w:val="2"/>
          <w:sz w:val="32"/>
          <w:szCs w:val="32"/>
          <w:highlight w:val="none"/>
          <w:lang w:val="en-US" w:eastAsia="zh-CN" w:bidi="ar-SA"/>
        </w:rPr>
        <w:t xml:space="preserve">  </w:t>
      </w:r>
      <w:r>
        <w:rPr>
          <w:rFonts w:hint="eastAsia" w:ascii="仿宋_GB2312" w:hAnsi="仿宋_GB2312" w:eastAsia="仿宋_GB2312" w:cs="仿宋_GB2312"/>
          <w:bCs/>
          <w:color w:val="auto"/>
          <w:sz w:val="32"/>
          <w:szCs w:val="32"/>
          <w:highlight w:val="none"/>
        </w:rPr>
        <w:t>市</w:t>
      </w:r>
      <w:r>
        <w:rPr>
          <w:rFonts w:hint="eastAsia" w:ascii="仿宋_GB2312" w:hAnsi="仿宋_GB2312" w:eastAsia="仿宋_GB2312" w:cs="仿宋_GB2312"/>
          <w:bCs/>
          <w:color w:val="auto"/>
          <w:sz w:val="32"/>
          <w:szCs w:val="32"/>
          <w:highlight w:val="none"/>
          <w:lang w:val="en-US" w:eastAsia="zh-CN"/>
        </w:rPr>
        <w:t>商务局</w:t>
      </w:r>
      <w:r>
        <w:rPr>
          <w:rFonts w:hint="eastAsia" w:ascii="仿宋_GB2312" w:hAnsi="仿宋_GB2312" w:eastAsia="仿宋_GB2312" w:cs="仿宋_GB2312"/>
          <w:bCs/>
          <w:color w:val="auto"/>
          <w:sz w:val="32"/>
          <w:szCs w:val="32"/>
          <w:highlight w:val="none"/>
        </w:rPr>
        <w:t>负责</w:t>
      </w:r>
      <w:r>
        <w:rPr>
          <w:rFonts w:hint="eastAsia" w:ascii="仿宋_GB2312" w:hAnsi="仿宋_GB2312" w:eastAsia="仿宋_GB2312" w:cs="仿宋_GB2312"/>
          <w:bCs/>
          <w:color w:val="auto"/>
          <w:sz w:val="32"/>
          <w:szCs w:val="32"/>
          <w:highlight w:val="none"/>
          <w:lang w:val="en-US" w:eastAsia="zh-CN"/>
        </w:rPr>
        <w:t>牵头</w:t>
      </w:r>
      <w:r>
        <w:rPr>
          <w:rFonts w:hint="eastAsia" w:ascii="仿宋_GB2312" w:hAnsi="仿宋_GB2312" w:eastAsia="仿宋_GB2312" w:cs="仿宋_GB2312"/>
          <w:bCs/>
          <w:color w:val="auto"/>
          <w:sz w:val="32"/>
          <w:szCs w:val="32"/>
          <w:highlight w:val="none"/>
        </w:rPr>
        <w:t>建立健全专项资金管理制度，加强专项资金</w:t>
      </w:r>
      <w:r>
        <w:rPr>
          <w:rFonts w:hint="eastAsia" w:ascii="仿宋_GB2312" w:hAnsi="仿宋_GB2312" w:eastAsia="仿宋_GB2312" w:cs="仿宋_GB2312"/>
          <w:bCs/>
          <w:color w:val="auto"/>
          <w:sz w:val="32"/>
          <w:szCs w:val="32"/>
          <w:highlight w:val="none"/>
          <w:lang w:val="en-US" w:eastAsia="zh-CN"/>
        </w:rPr>
        <w:t>日常</w:t>
      </w:r>
      <w:r>
        <w:rPr>
          <w:rFonts w:hint="eastAsia" w:ascii="仿宋_GB2312" w:hAnsi="仿宋_GB2312" w:eastAsia="仿宋_GB2312" w:cs="仿宋_GB2312"/>
          <w:bCs/>
          <w:color w:val="auto"/>
          <w:sz w:val="32"/>
          <w:szCs w:val="32"/>
          <w:highlight w:val="none"/>
        </w:rPr>
        <w:t>管理；编制专项资金支出预算、提出资金分配方案；执行批复的专项资金支出预算、设立</w:t>
      </w:r>
      <w:r>
        <w:rPr>
          <w:rFonts w:hint="eastAsia" w:ascii="仿宋_GB2312" w:hAnsi="仿宋_GB2312" w:eastAsia="仿宋_GB2312" w:cs="仿宋_GB2312"/>
          <w:bCs/>
          <w:color w:val="auto"/>
          <w:sz w:val="32"/>
          <w:szCs w:val="32"/>
          <w:highlight w:val="none"/>
          <w:lang w:val="en-US" w:eastAsia="zh-CN"/>
        </w:rPr>
        <w:t>整体</w:t>
      </w:r>
      <w:r>
        <w:rPr>
          <w:rFonts w:hint="eastAsia" w:ascii="仿宋_GB2312" w:hAnsi="仿宋_GB2312" w:eastAsia="仿宋_GB2312" w:cs="仿宋_GB2312"/>
          <w:bCs/>
          <w:color w:val="auto"/>
          <w:sz w:val="32"/>
          <w:szCs w:val="32"/>
          <w:highlight w:val="none"/>
        </w:rPr>
        <w:t>绩效目标、加强预算执行和绩效目标运行双监控，组织开展专项资金绩效评价</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按规定公开预算绩效目标和绩效评价结果等信息；监督专项资金的使用管理；落实专项资金执行期满或者被撤销后的清算、资金回收以及其他相关工作等。</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0" w:afterLines="0" w:line="600" w:lineRule="exact"/>
        <w:ind w:firstLine="640" w:firstLineChars="200"/>
        <w:jc w:val="both"/>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黑体" w:hAnsi="黑体" w:eastAsia="黑体" w:cs="黑体"/>
          <w:bCs/>
          <w:color w:val="auto"/>
          <w:kern w:val="2"/>
          <w:sz w:val="32"/>
          <w:szCs w:val="32"/>
          <w:highlight w:val="none"/>
          <w:lang w:val="en-US" w:eastAsia="zh-CN" w:bidi="ar-SA"/>
        </w:rPr>
        <w:t>第六条</w:t>
      </w:r>
      <w:r>
        <w:rPr>
          <w:rFonts w:hint="eastAsia" w:ascii="仿宋_GB2312" w:hAnsi="仿宋_GB2312" w:eastAsia="仿宋_GB2312" w:cs="仿宋_GB2312"/>
          <w:bCs/>
          <w:color w:val="auto"/>
          <w:kern w:val="2"/>
          <w:sz w:val="32"/>
          <w:szCs w:val="32"/>
          <w:highlight w:val="none"/>
          <w:lang w:val="en-US" w:eastAsia="zh-CN" w:bidi="ar-SA"/>
        </w:rPr>
        <w:t xml:space="preserve">  </w:t>
      </w:r>
      <w:r>
        <w:rPr>
          <w:rFonts w:hint="eastAsia" w:ascii="仿宋_GB2312" w:hAnsi="仿宋_GB2312" w:eastAsia="仿宋_GB2312" w:cs="仿宋_GB2312"/>
          <w:sz w:val="32"/>
          <w:szCs w:val="32"/>
          <w:lang w:eastAsia="zh-CN"/>
        </w:rPr>
        <w:t>市财政局负责专项资金的管理</w:t>
      </w:r>
      <w:r>
        <w:rPr>
          <w:rFonts w:hint="eastAsia" w:ascii="仿宋_GB2312" w:hAnsi="仿宋_GB2312" w:eastAsia="仿宋_GB2312" w:cs="仿宋_GB2312"/>
          <w:bCs/>
          <w:color w:val="auto"/>
          <w:kern w:val="2"/>
          <w:sz w:val="32"/>
          <w:szCs w:val="32"/>
          <w:highlight w:val="none"/>
          <w:lang w:val="en-US" w:eastAsia="zh-CN" w:bidi="ar-SA"/>
        </w:rPr>
        <w:t>、会同市商务局实施政策研究、建立健全专项资金管理制度；组织专项资金支出预算的编制工作；审核并下达资金预算；组织开展专项资金绩效管理工作，加强绩效结果运用；开展资金管理监督工作。</w:t>
      </w:r>
    </w:p>
    <w:p>
      <w:pPr>
        <w:widowControl w:val="0"/>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jc w:val="both"/>
        <w:textAlignment w:val="auto"/>
        <w:rPr>
          <w:rFonts w:hint="eastAsia" w:ascii="仿宋_GB2312" w:hAnsi="仿宋_GB2312" w:eastAsia="仿宋_GB2312" w:cs="仿宋_GB2312"/>
          <w:bCs/>
          <w:color w:val="auto"/>
          <w:sz w:val="32"/>
          <w:szCs w:val="32"/>
          <w:highlight w:val="none"/>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七</w:t>
      </w:r>
      <w:r>
        <w:rPr>
          <w:rFonts w:hint="eastAsia" w:ascii="黑体" w:hAnsi="黑体" w:eastAsia="黑体" w:cs="黑体"/>
          <w:bCs/>
          <w:color w:val="auto"/>
          <w:sz w:val="32"/>
          <w:szCs w:val="32"/>
          <w:highlight w:val="none"/>
        </w:rPr>
        <w:t>条</w:t>
      </w:r>
      <w:r>
        <w:rPr>
          <w:rFonts w:hint="eastAsia" w:ascii="仿宋_GB2312" w:hAnsi="仿宋_GB2312" w:eastAsia="仿宋_GB2312" w:cs="仿宋_GB2312"/>
          <w:bCs/>
          <w:color w:val="auto"/>
          <w:sz w:val="32"/>
          <w:szCs w:val="32"/>
          <w:highlight w:val="none"/>
        </w:rPr>
        <w:t xml:space="preserve">  </w:t>
      </w:r>
      <w:r>
        <w:rPr>
          <w:rFonts w:hint="eastAsia" w:ascii="仿宋_GB2312" w:hAnsi="仿宋_GB2312" w:eastAsia="仿宋_GB2312" w:cs="仿宋_GB2312"/>
          <w:bCs/>
          <w:color w:val="auto"/>
          <w:sz w:val="32"/>
          <w:szCs w:val="32"/>
          <w:highlight w:val="none"/>
          <w:lang w:eastAsia="zh-CN"/>
        </w:rPr>
        <w:t>各区、各部门</w:t>
      </w:r>
      <w:r>
        <w:rPr>
          <w:rFonts w:hint="eastAsia" w:ascii="仿宋_GB2312" w:hAnsi="仿宋_GB2312" w:eastAsia="仿宋_GB2312" w:cs="仿宋_GB2312"/>
          <w:bCs/>
          <w:color w:val="auto"/>
          <w:sz w:val="32"/>
          <w:szCs w:val="32"/>
          <w:highlight w:val="none"/>
          <w:lang w:val="en-US" w:eastAsia="zh-CN"/>
        </w:rPr>
        <w:t>按照本办法要求</w:t>
      </w:r>
      <w:r>
        <w:rPr>
          <w:rFonts w:hint="eastAsia" w:ascii="仿宋_GB2312" w:hAnsi="仿宋_GB2312" w:eastAsia="仿宋_GB2312" w:cs="仿宋_GB2312"/>
          <w:bCs/>
          <w:color w:val="auto"/>
          <w:sz w:val="32"/>
          <w:szCs w:val="32"/>
          <w:highlight w:val="none"/>
          <w:lang w:eastAsia="zh-CN"/>
        </w:rPr>
        <w:t>负责各自领域内项目的项目初审以及跟踪管理。根据要求协助项目验收、监督检查与绩效评价等工作。</w:t>
      </w:r>
    </w:p>
    <w:p>
      <w:pPr>
        <w:widowControl w:val="0"/>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jc w:val="both"/>
        <w:textAlignment w:val="auto"/>
        <w:rPr>
          <w:rFonts w:hint="eastAsia" w:ascii="仿宋_GB2312" w:hAnsi="仿宋_GB2312" w:eastAsia="仿宋_GB2312" w:cs="仿宋_GB2312"/>
          <w:bCs/>
          <w:color w:val="auto"/>
          <w:sz w:val="32"/>
          <w:szCs w:val="32"/>
          <w:highlight w:val="none"/>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八</w:t>
      </w:r>
      <w:r>
        <w:rPr>
          <w:rFonts w:hint="eastAsia" w:ascii="黑体" w:hAnsi="黑体" w:eastAsia="黑体" w:cs="黑体"/>
          <w:bCs/>
          <w:color w:val="auto"/>
          <w:sz w:val="32"/>
          <w:szCs w:val="32"/>
          <w:highlight w:val="none"/>
        </w:rPr>
        <w:t>条</w:t>
      </w:r>
      <w:r>
        <w:rPr>
          <w:rFonts w:hint="eastAsia" w:ascii="仿宋_GB2312" w:hAnsi="仿宋_GB2312" w:eastAsia="仿宋_GB2312" w:cs="仿宋_GB2312"/>
          <w:bCs/>
          <w:color w:val="auto"/>
          <w:sz w:val="32"/>
          <w:szCs w:val="32"/>
          <w:highlight w:val="none"/>
        </w:rPr>
        <w:t xml:space="preserve">  各项目实施单位是专项资金管理的第一责任单位，对资金的安全性、规范性、合规性以及项目</w:t>
      </w:r>
      <w:r>
        <w:rPr>
          <w:rFonts w:hint="eastAsia" w:ascii="仿宋_GB2312" w:hAnsi="仿宋_GB2312" w:eastAsia="仿宋_GB2312" w:cs="仿宋_GB2312"/>
          <w:bCs/>
          <w:color w:val="auto"/>
          <w:sz w:val="32"/>
          <w:szCs w:val="32"/>
          <w:highlight w:val="none"/>
          <w:lang w:eastAsia="zh-CN"/>
        </w:rPr>
        <w:t>绩效</w:t>
      </w:r>
      <w:r>
        <w:rPr>
          <w:rFonts w:hint="eastAsia" w:ascii="仿宋_GB2312" w:hAnsi="仿宋_GB2312" w:eastAsia="仿宋_GB2312" w:cs="仿宋_GB2312"/>
          <w:bCs/>
          <w:color w:val="auto"/>
          <w:sz w:val="32"/>
          <w:szCs w:val="32"/>
          <w:highlight w:val="none"/>
        </w:rPr>
        <w:t>等承担主体责任</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负责推进项目的具体实施，及时足额安排自筹资金，根据项目内容加快实施进度。配合做好项目监督检查、审计验收、绩效考核管理等工作。</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p>
      <w:pPr>
        <w:keepNext w:val="0"/>
        <w:keepLines w:val="0"/>
        <w:pageBreakBefore w:val="0"/>
        <w:kinsoku/>
        <w:wordWrap/>
        <w:overflowPunct w:val="0"/>
        <w:topLinePunct w:val="0"/>
        <w:autoSpaceDE/>
        <w:autoSpaceDN/>
        <w:bidi w:val="0"/>
        <w:adjustRightInd w:val="0"/>
        <w:snapToGrid w:val="0"/>
        <w:spacing w:beforeLines="0" w:afterLines="0" w:line="600" w:lineRule="exact"/>
        <w:jc w:val="center"/>
        <w:textAlignment w:val="baseline"/>
        <w:rPr>
          <w:rFonts w:hint="eastAsia" w:ascii="黑体" w:hAnsi="黑体" w:eastAsia="黑体" w:cs="黑体"/>
          <w:sz w:val="32"/>
          <w:szCs w:val="32"/>
          <w:lang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三</w:t>
      </w:r>
      <w:r>
        <w:rPr>
          <w:rFonts w:hint="eastAsia" w:ascii="黑体" w:hAnsi="黑体" w:eastAsia="黑体" w:cs="黑体"/>
          <w:sz w:val="32"/>
          <w:szCs w:val="32"/>
        </w:rPr>
        <w:t xml:space="preserve">章 </w:t>
      </w:r>
      <w:r>
        <w:rPr>
          <w:rFonts w:hint="eastAsia" w:ascii="黑体" w:hAnsi="黑体" w:eastAsia="黑体" w:cs="黑体"/>
          <w:sz w:val="32"/>
          <w:szCs w:val="32"/>
          <w:lang w:eastAsia="zh-CN"/>
        </w:rPr>
        <w:t>适用范围</w:t>
      </w:r>
      <w:r>
        <w:rPr>
          <w:rFonts w:hint="eastAsia" w:ascii="黑体" w:hAnsi="黑体" w:eastAsia="黑体" w:cs="黑体"/>
          <w:sz w:val="36"/>
          <w:szCs w:val="36"/>
          <w:lang w:eastAsia="zh-CN"/>
        </w:rPr>
        <w:t>及标准</w:t>
      </w:r>
    </w:p>
    <w:p>
      <w:pPr>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0" w:beforeLines="0" w:beforeAutospacing="0" w:after="0" w:afterLines="0" w:afterAutospacing="0" w:line="600" w:lineRule="exact"/>
        <w:ind w:left="0" w:right="0" w:firstLine="640" w:firstLineChars="200"/>
        <w:jc w:val="both"/>
        <w:textAlignment w:val="baseline"/>
        <w:rPr>
          <w:rFonts w:hint="eastAsia" w:ascii="仿宋_GB2312" w:hAnsi="仿宋_GB2312" w:eastAsia="仿宋_GB2312" w:cs="仿宋_GB2312"/>
          <w:b w:val="0"/>
          <w:bCs/>
          <w:i w:val="0"/>
          <w:iCs w:val="0"/>
          <w:caps w:val="0"/>
          <w:color w:val="auto"/>
          <w:spacing w:val="0"/>
          <w:kern w:val="2"/>
          <w:sz w:val="32"/>
          <w:szCs w:val="32"/>
          <w:highlight w:val="none"/>
          <w:u w:val="none"/>
          <w:shd w:val="clear" w:fill="FFFFFF"/>
          <w:lang w:val="en-US" w:eastAsia="zh-CN" w:bidi="ar-SA"/>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九</w:t>
      </w:r>
      <w:r>
        <w:rPr>
          <w:rFonts w:hint="eastAsia" w:ascii="黑体" w:hAnsi="黑体" w:eastAsia="黑体" w:cs="黑体"/>
          <w:bCs/>
          <w:color w:val="auto"/>
          <w:sz w:val="32"/>
          <w:szCs w:val="32"/>
          <w:highlight w:val="none"/>
        </w:rPr>
        <w:t>条</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 xml:space="preserve"> 专项资金</w:t>
      </w:r>
      <w:r>
        <w:rPr>
          <w:rFonts w:hint="eastAsia" w:ascii="仿宋_GB2312" w:hAnsi="仿宋_GB2312" w:eastAsia="仿宋_GB2312" w:cs="仿宋_GB2312"/>
          <w:bCs/>
          <w:color w:val="auto"/>
          <w:sz w:val="32"/>
          <w:szCs w:val="32"/>
          <w:highlight w:val="none"/>
          <w:lang w:eastAsia="zh-CN"/>
        </w:rPr>
        <w:t>支持以下方向</w:t>
      </w:r>
      <w:r>
        <w:rPr>
          <w:rFonts w:hint="eastAsia" w:ascii="仿宋_GB2312" w:hAnsi="仿宋_GB2312" w:eastAsia="仿宋_GB2312" w:cs="仿宋_GB2312"/>
          <w:bCs/>
          <w:color w:val="auto"/>
          <w:sz w:val="32"/>
          <w:szCs w:val="32"/>
          <w:highlight w:val="none"/>
        </w:rPr>
        <w:t>：</w:t>
      </w:r>
    </w:p>
    <w:p>
      <w:pPr>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0" w:beforeLines="0" w:beforeAutospacing="0" w:after="0" w:afterLines="0" w:afterAutospacing="0" w:line="600" w:lineRule="exact"/>
        <w:ind w:left="0" w:right="0" w:firstLine="640" w:firstLineChars="200"/>
        <w:jc w:val="both"/>
        <w:textAlignment w:val="baseline"/>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一）丰富高品质消费供给。围绕国际化消费环境建设，聚焦知识产权（IP）、数字、绿色、智能、文旅、体育、国潮等主题，支持重点商圈改造提升，创新具有国际知名度和影响力的商旅文体健多元融合消费场景，打造国际消费集聚区、入境消费友好型商圈以及地标性消费项目。支持培育一批富有时尚引领度和国际影响力的本土品牌。大力发展离境退税，支持增加退税商店、丰富退税商品、优化退税服务等。</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二）优化涉外支付服务。完善多层次、多元化支付服务体系。优化境外银行卡使用环境，提升商圈、旅游景区、旅游休闲街区、酒店、餐厅、机场、车站等涉外人员重点场所外卡POS机覆盖率，支持商户安装或升级外卡POS机设备。优化现金使用环境，支持涉外人员重点场所增设外币兑换点、外币兑换机等设施及多币种兑换服务。推进商户现金备付工作，做好零售、餐饮、文旅、交通等场景全覆盖。</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三）提升国际化服务水平。支持完善重点商圈、旅游景区、酒店、机场、火车站、地铁站、体育场馆等重点场所多语种标识，增设行李寄存、境外旅客引导服务台等便利服务设施，投放多语种翻译工具。丰富入境旅游产品供给，支持餐饮、住宿、零售等重点商户提供多语种产品及服务清单。联合高校、培训机构增加小语种志愿者服务，组织重点场所工作人员开展外语接待、支付指导、旅游咨询、购物指引等业务培训。</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十</w:t>
      </w:r>
      <w:r>
        <w:rPr>
          <w:rFonts w:hint="eastAsia" w:ascii="黑体" w:hAnsi="黑体" w:eastAsia="黑体" w:cs="黑体"/>
          <w:bCs/>
          <w:color w:val="auto"/>
          <w:sz w:val="32"/>
          <w:szCs w:val="32"/>
          <w:highlight w:val="none"/>
        </w:rPr>
        <w:t>条</w:t>
      </w:r>
      <w:r>
        <w:rPr>
          <w:rFonts w:hint="eastAsia" w:ascii="仿宋_GB2312" w:hAnsi="仿宋_GB2312" w:eastAsia="仿宋_GB2312" w:cs="仿宋_GB2312"/>
          <w:bCs/>
          <w:color w:val="auto"/>
          <w:sz w:val="32"/>
          <w:szCs w:val="32"/>
          <w:highlight w:val="none"/>
        </w:rPr>
        <w:t xml:space="preserve">  中央财政资金</w:t>
      </w:r>
      <w:r>
        <w:rPr>
          <w:rFonts w:hint="eastAsia" w:ascii="仿宋_GB2312" w:hAnsi="仿宋_GB2312" w:eastAsia="仿宋_GB2312" w:cs="仿宋_GB2312"/>
          <w:bCs/>
          <w:color w:val="auto"/>
          <w:sz w:val="32"/>
          <w:szCs w:val="32"/>
          <w:highlight w:val="none"/>
          <w:lang w:val="en-US" w:eastAsia="zh-CN"/>
        </w:rPr>
        <w:t>不得用于</w:t>
      </w:r>
      <w:r>
        <w:rPr>
          <w:rFonts w:hint="eastAsia" w:ascii="仿宋_GB2312" w:hAnsi="仿宋_GB2312" w:eastAsia="仿宋_GB2312" w:cs="仿宋_GB2312"/>
          <w:bCs/>
          <w:color w:val="auto"/>
          <w:sz w:val="32"/>
          <w:szCs w:val="32"/>
          <w:highlight w:val="none"/>
          <w:lang w:eastAsia="zh-CN"/>
        </w:rPr>
        <w:t>以下方面：</w:t>
      </w:r>
      <w:r>
        <w:rPr>
          <w:rFonts w:hint="eastAsia" w:ascii="仿宋_GB2312" w:hAnsi="仿宋_GB2312" w:eastAsia="仿宋_GB2312" w:cs="仿宋_GB2312"/>
          <w:bCs/>
          <w:color w:val="auto"/>
          <w:sz w:val="32"/>
          <w:szCs w:val="32"/>
          <w:highlight w:val="none"/>
          <w:lang w:val="en-US" w:eastAsia="zh-CN"/>
        </w:rPr>
        <w:t>新建、扩建基础设施等，不得用于支付罚款、赞助、偿还债务以及财政补助单位人员经费和工作经费等，不得用于土地开发、征地拆迁、建设政府性楼堂馆所等明令禁止的支出项目。</w:t>
      </w:r>
      <w:r>
        <w:rPr>
          <w:rFonts w:hint="eastAsia" w:ascii="仿宋_GB2312" w:hAnsi="仿宋_GB2312" w:eastAsia="仿宋_GB2312" w:cs="仿宋_GB2312"/>
          <w:bCs/>
          <w:color w:val="auto"/>
          <w:sz w:val="32"/>
          <w:szCs w:val="32"/>
          <w:highlight w:val="none"/>
        </w:rPr>
        <w:t>涉及审计、财政监管等发现问题未有效整改的项目</w:t>
      </w:r>
      <w:r>
        <w:rPr>
          <w:rFonts w:hint="eastAsia" w:ascii="仿宋_GB2312" w:hAnsi="仿宋_GB2312" w:eastAsia="仿宋_GB2312" w:cs="仿宋_GB2312"/>
          <w:bCs/>
          <w:color w:val="auto"/>
          <w:sz w:val="32"/>
          <w:szCs w:val="32"/>
          <w:highlight w:val="none"/>
          <w:lang w:eastAsia="zh-CN"/>
        </w:rPr>
        <w:t>，以及</w:t>
      </w:r>
      <w:r>
        <w:rPr>
          <w:rFonts w:hint="eastAsia" w:ascii="仿宋_GB2312" w:hAnsi="仿宋_GB2312" w:eastAsia="仿宋_GB2312" w:cs="仿宋_GB2312"/>
          <w:bCs/>
          <w:color w:val="auto"/>
          <w:sz w:val="32"/>
          <w:szCs w:val="32"/>
          <w:highlight w:val="none"/>
        </w:rPr>
        <w:t>同一内容</w:t>
      </w:r>
      <w:r>
        <w:rPr>
          <w:rFonts w:hint="eastAsia" w:ascii="仿宋_GB2312" w:hAnsi="仿宋_GB2312" w:eastAsia="仿宋_GB2312" w:cs="仿宋_GB2312"/>
          <w:bCs/>
          <w:color w:val="auto"/>
          <w:sz w:val="32"/>
          <w:szCs w:val="32"/>
          <w:highlight w:val="none"/>
          <w:lang w:eastAsia="zh-CN"/>
        </w:rPr>
        <w:t>已</w:t>
      </w:r>
      <w:r>
        <w:rPr>
          <w:rFonts w:hint="eastAsia" w:ascii="仿宋_GB2312" w:hAnsi="仿宋_GB2312" w:eastAsia="仿宋_GB2312" w:cs="仿宋_GB2312"/>
          <w:bCs/>
          <w:color w:val="auto"/>
          <w:sz w:val="32"/>
          <w:szCs w:val="32"/>
          <w:highlight w:val="none"/>
        </w:rPr>
        <w:t>获得中央财政资金（含超长期特别国债资金）支持的项目。</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lang w:val="en-US" w:eastAsia="zh-CN"/>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十一</w:t>
      </w:r>
      <w:r>
        <w:rPr>
          <w:rFonts w:hint="eastAsia" w:ascii="黑体" w:hAnsi="黑体" w:eastAsia="黑体" w:cs="黑体"/>
          <w:bCs/>
          <w:color w:val="auto"/>
          <w:sz w:val="32"/>
          <w:szCs w:val="32"/>
          <w:highlight w:val="none"/>
        </w:rPr>
        <w:t>条</w:t>
      </w:r>
      <w:r>
        <w:rPr>
          <w:rFonts w:hint="eastAsia" w:ascii="仿宋_GB2312" w:hAnsi="仿宋_GB2312" w:eastAsia="仿宋_GB2312" w:cs="仿宋_GB2312"/>
          <w:bCs/>
          <w:color w:val="auto"/>
          <w:sz w:val="32"/>
          <w:szCs w:val="32"/>
          <w:highlight w:val="none"/>
        </w:rPr>
        <w:t xml:space="preserve"> </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支持方式</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（一）直接补助：</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1.打造国际消费集聚区、入境友好型商圈、地标性消费项目，培育优质本土品牌，增设外币兑换设施，完善多语种标识、增设行李寄存、境外旅客引导服务台等便利服务设施、开展国际化消费服务业务培训等项目根据项目投资额按不超过30%比例给予补助。</w:t>
      </w:r>
    </w:p>
    <w:p>
      <w:pPr>
        <w:keepNext w:val="0"/>
        <w:keepLines w:val="0"/>
        <w:widowControl/>
        <w:suppressLineNumbers w:val="0"/>
        <w:ind w:firstLine="640" w:firstLineChars="200"/>
        <w:jc w:val="left"/>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2.公共项目可提高扶持比例。地方政府或其委托机构投资的非盈利性项目按照投资额予以不超过85%的补助。</w:t>
      </w:r>
      <w:r>
        <w:rPr>
          <w:rFonts w:hint="eastAsia" w:ascii="仿宋_GB2312" w:hAnsi="仿宋_GB2312" w:eastAsia="仿宋_GB2312" w:cs="仿宋_GB2312"/>
          <w:bCs/>
          <w:color w:val="auto"/>
          <w:kern w:val="2"/>
          <w:sz w:val="32"/>
          <w:szCs w:val="32"/>
          <w:highlight w:val="none"/>
          <w:lang w:val="en-US" w:eastAsia="zh-CN" w:bidi="ar"/>
        </w:rPr>
        <w:t>对收单机构在试点期间（以收单机构与商户签订协议时间为准）新增外卡受理终端且有刷卡交易记录的，每台设备按照600元给予补贴。</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default"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打造国际消费集聚区、入境友好型商圈、地标性消费项目的中央资金补助金额原则上不超过800万元。培育优质本土品牌，增设外币兑换设施，完善多语种标识、增设行李寄存、境外旅客引导服务台等便利服务设施、开展国际化消费服务业务培训等项目的中央资金补助金额原则上不超过300万元。公共项目中央资金补助金额可不受上限限制。</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（二）以奖代补：</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default"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根据现行地方国际化消费环境相关政策，由中央资金予以适当奖励。项目绩效目标要求按现行相关政策执行。</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1.新增退税商店，设立当年退税商品销售达</w:t>
      </w:r>
      <w:r>
        <w:rPr>
          <w:rFonts w:hint="eastAsia" w:ascii="仿宋_GB2312" w:hAnsi="仿宋_GB2312" w:eastAsia="仿宋_GB2312" w:cs="仿宋_GB2312"/>
          <w:bCs/>
          <w:color w:val="auto"/>
          <w:sz w:val="32"/>
          <w:szCs w:val="32"/>
          <w:highlight w:val="none"/>
          <w:lang w:val="en-US" w:eastAsia="zh-CN"/>
        </w:rPr>
        <w:t>10万元以上</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含</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，根据退税商品年销售额给予千分之二的奖励。鼓励退税商店丰富</w:t>
      </w:r>
      <w:r>
        <w:rPr>
          <w:rFonts w:hint="eastAsia" w:ascii="仿宋_GB2312" w:hAnsi="仿宋_GB2312" w:eastAsia="仿宋_GB2312" w:cs="仿宋_GB2312"/>
          <w:bCs/>
          <w:color w:val="auto"/>
          <w:sz w:val="32"/>
          <w:szCs w:val="32"/>
          <w:highlight w:val="none"/>
          <w:lang w:val="en-US" w:eastAsia="zh-CN"/>
        </w:rPr>
        <w:t>国货</w:t>
      </w:r>
      <w:r>
        <w:rPr>
          <w:rFonts w:hint="eastAsia" w:ascii="仿宋_GB2312" w:hAnsi="仿宋_GB2312" w:eastAsia="仿宋_GB2312" w:cs="仿宋_GB2312"/>
          <w:bCs/>
          <w:color w:val="auto"/>
          <w:sz w:val="32"/>
          <w:szCs w:val="32"/>
          <w:highlight w:val="none"/>
        </w:rPr>
        <w:t>退税商品、优化退税服务，</w:t>
      </w:r>
      <w:r>
        <w:rPr>
          <w:rFonts w:hint="eastAsia" w:ascii="仿宋_GB2312" w:hAnsi="仿宋_GB2312" w:eastAsia="仿宋_GB2312" w:cs="仿宋_GB2312"/>
          <w:bCs/>
          <w:color w:val="auto"/>
          <w:sz w:val="32"/>
          <w:szCs w:val="32"/>
          <w:highlight w:val="none"/>
          <w:lang w:val="en-US" w:eastAsia="zh-CN"/>
        </w:rPr>
        <w:t>国内品牌</w:t>
      </w:r>
      <w:r>
        <w:rPr>
          <w:rFonts w:hint="eastAsia" w:ascii="仿宋_GB2312" w:hAnsi="仿宋_GB2312" w:eastAsia="仿宋_GB2312" w:cs="仿宋_GB2312"/>
          <w:bCs/>
          <w:color w:val="auto"/>
          <w:sz w:val="32"/>
          <w:szCs w:val="32"/>
          <w:highlight w:val="none"/>
        </w:rPr>
        <w:t>退税商品销售同比增量达</w:t>
      </w:r>
      <w:r>
        <w:rPr>
          <w:rFonts w:hint="eastAsia" w:ascii="仿宋_GB2312" w:hAnsi="仿宋_GB2312" w:eastAsia="仿宋_GB2312" w:cs="仿宋_GB2312"/>
          <w:bCs/>
          <w:color w:val="auto"/>
          <w:sz w:val="32"/>
          <w:szCs w:val="32"/>
          <w:highlight w:val="none"/>
          <w:lang w:val="en-US" w:eastAsia="zh-CN"/>
        </w:rPr>
        <w:t>10万元以上的（含）</w:t>
      </w:r>
      <w:r>
        <w:rPr>
          <w:rFonts w:hint="eastAsia" w:ascii="仿宋_GB2312" w:hAnsi="仿宋_GB2312" w:eastAsia="仿宋_GB2312" w:cs="仿宋_GB2312"/>
          <w:bCs/>
          <w:color w:val="auto"/>
          <w:sz w:val="32"/>
          <w:szCs w:val="32"/>
          <w:highlight w:val="none"/>
        </w:rPr>
        <w:t>，根据</w:t>
      </w:r>
      <w:r>
        <w:rPr>
          <w:rFonts w:hint="eastAsia" w:ascii="仿宋_GB2312" w:hAnsi="仿宋_GB2312" w:eastAsia="仿宋_GB2312" w:cs="仿宋_GB2312"/>
          <w:bCs/>
          <w:color w:val="auto"/>
          <w:sz w:val="32"/>
          <w:szCs w:val="32"/>
          <w:highlight w:val="none"/>
          <w:lang w:val="en-US" w:eastAsia="zh-CN"/>
        </w:rPr>
        <w:t>国内品牌</w:t>
      </w:r>
      <w:r>
        <w:rPr>
          <w:rFonts w:hint="eastAsia" w:ascii="仿宋_GB2312" w:hAnsi="仿宋_GB2312" w:eastAsia="仿宋_GB2312" w:cs="仿宋_GB2312"/>
          <w:bCs/>
          <w:color w:val="auto"/>
          <w:sz w:val="32"/>
          <w:szCs w:val="32"/>
          <w:highlight w:val="none"/>
        </w:rPr>
        <w:t>退税商品年销售额增量给予千分之四的奖励。</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val="en-US" w:eastAsia="zh-CN"/>
        </w:rPr>
        <w:t>2.</w:t>
      </w:r>
      <w:r>
        <w:rPr>
          <w:rFonts w:hint="eastAsia" w:ascii="仿宋_GB2312" w:hAnsi="仿宋_GB2312" w:eastAsia="仿宋_GB2312" w:cs="仿宋_GB2312"/>
          <w:bCs/>
          <w:color w:val="auto"/>
          <w:sz w:val="32"/>
          <w:szCs w:val="32"/>
          <w:highlight w:val="none"/>
        </w:rPr>
        <w:t>对新认定“中华老字号”的企业给予20万元一次性奖励</w:t>
      </w:r>
      <w:r>
        <w:rPr>
          <w:rFonts w:hint="eastAsia" w:ascii="仿宋_GB2312" w:hAnsi="仿宋_GB2312" w:eastAsia="仿宋_GB2312" w:cs="仿宋_GB2312"/>
          <w:bCs/>
          <w:color w:val="auto"/>
          <w:sz w:val="32"/>
          <w:szCs w:val="32"/>
          <w:highlight w:val="none"/>
          <w:lang w:eastAsia="zh-CN"/>
        </w:rPr>
        <w:t>。</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对在厦举办的大型优质涉外会展项目给予最高600万元奖补</w:t>
      </w:r>
      <w:r>
        <w:rPr>
          <w:rFonts w:hint="eastAsia" w:ascii="仿宋_GB2312" w:hAnsi="仿宋_GB2312" w:eastAsia="仿宋_GB2312" w:cs="仿宋_GB2312"/>
          <w:bCs/>
          <w:color w:val="auto"/>
          <w:sz w:val="32"/>
          <w:szCs w:val="32"/>
          <w:highlight w:val="none"/>
          <w:lang w:eastAsia="zh-CN"/>
        </w:rPr>
        <w:t>。</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Cs/>
          <w:color w:val="auto"/>
          <w:sz w:val="32"/>
          <w:szCs w:val="32"/>
          <w:highlight w:val="none"/>
          <w:lang w:val="en-US" w:eastAsia="zh-CN"/>
        </w:rPr>
        <w:t>4</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鼓励在厦开展邮轮旅游业务的邮轮公司、包船企业长期母港运营、特色航线运营，</w:t>
      </w:r>
      <w:r>
        <w:rPr>
          <w:rFonts w:hint="eastAsia" w:ascii="仿宋_GB2312" w:hAnsi="仿宋_GB2312" w:eastAsia="仿宋_GB2312" w:cs="仿宋_GB2312"/>
          <w:bCs/>
          <w:color w:val="auto"/>
          <w:sz w:val="32"/>
          <w:szCs w:val="32"/>
          <w:highlight w:val="none"/>
          <w:lang w:eastAsia="zh-CN"/>
        </w:rPr>
        <w:t>每年最高奖励100万元</w:t>
      </w:r>
      <w:r>
        <w:rPr>
          <w:rFonts w:hint="eastAsia" w:ascii="仿宋_GB2312" w:hAnsi="仿宋_GB2312" w:eastAsia="仿宋_GB2312" w:cs="仿宋_GB2312"/>
          <w:b w:val="0"/>
          <w:bCs/>
          <w:color w:val="auto"/>
          <w:kern w:val="2"/>
          <w:sz w:val="32"/>
          <w:szCs w:val="32"/>
          <w:highlight w:val="none"/>
          <w:lang w:val="en-US" w:eastAsia="zh-CN" w:bidi="ar-SA"/>
        </w:rPr>
        <w:t>。</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6.</w:t>
      </w:r>
      <w:r>
        <w:rPr>
          <w:rFonts w:hint="eastAsia" w:ascii="仿宋_GB2312" w:hAnsi="仿宋_GB2312" w:eastAsia="仿宋_GB2312" w:cs="仿宋_GB2312"/>
          <w:bCs/>
          <w:color w:val="auto"/>
          <w:sz w:val="32"/>
          <w:szCs w:val="32"/>
          <w:highlight w:val="none"/>
          <w:lang w:eastAsia="zh-CN"/>
        </w:rPr>
        <w:t>对引进有影响力的各类高水平</w:t>
      </w:r>
      <w:r>
        <w:rPr>
          <w:rFonts w:hint="eastAsia" w:ascii="仿宋_GB2312" w:hAnsi="仿宋_GB2312" w:eastAsia="仿宋_GB2312" w:cs="仿宋_GB2312"/>
          <w:bCs/>
          <w:color w:val="auto"/>
          <w:sz w:val="32"/>
          <w:szCs w:val="32"/>
          <w:highlight w:val="none"/>
          <w:lang w:val="en-US" w:eastAsia="zh-CN"/>
        </w:rPr>
        <w:t>国际</w:t>
      </w:r>
      <w:r>
        <w:rPr>
          <w:rFonts w:hint="eastAsia" w:ascii="仿宋_GB2312" w:hAnsi="仿宋_GB2312" w:eastAsia="仿宋_GB2312" w:cs="仿宋_GB2312"/>
          <w:bCs/>
          <w:color w:val="auto"/>
          <w:sz w:val="32"/>
          <w:szCs w:val="32"/>
          <w:highlight w:val="none"/>
          <w:lang w:eastAsia="zh-CN"/>
        </w:rPr>
        <w:t>体育赛事的单位给予每届最高不超过500万元补助。</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7.</w:t>
      </w:r>
      <w:r>
        <w:rPr>
          <w:rFonts w:hint="eastAsia" w:ascii="仿宋_GB2312" w:hAnsi="仿宋_GB2312" w:eastAsia="仿宋_GB2312" w:cs="仿宋_GB2312"/>
          <w:bCs/>
          <w:color w:val="auto"/>
          <w:sz w:val="32"/>
          <w:szCs w:val="32"/>
          <w:highlight w:val="none"/>
          <w:lang w:eastAsia="zh-CN"/>
        </w:rPr>
        <w:t>对新引进</w:t>
      </w:r>
      <w:r>
        <w:rPr>
          <w:rFonts w:hint="eastAsia" w:ascii="仿宋_GB2312" w:hAnsi="仿宋_GB2312" w:eastAsia="仿宋_GB2312" w:cs="仿宋_GB2312"/>
          <w:bCs/>
          <w:color w:val="auto"/>
          <w:sz w:val="32"/>
          <w:szCs w:val="32"/>
          <w:highlight w:val="none"/>
          <w:lang w:val="en-US" w:eastAsia="zh-CN"/>
        </w:rPr>
        <w:t>境</w:t>
      </w:r>
      <w:r>
        <w:rPr>
          <w:rFonts w:hint="eastAsia" w:ascii="仿宋_GB2312" w:hAnsi="仿宋_GB2312" w:eastAsia="仿宋_GB2312" w:cs="仿宋_GB2312"/>
          <w:bCs/>
          <w:color w:val="auto"/>
          <w:sz w:val="32"/>
          <w:szCs w:val="32"/>
          <w:highlight w:val="none"/>
          <w:lang w:eastAsia="zh-CN"/>
        </w:rPr>
        <w:t>外知名艺人大型演唱会</w:t>
      </w:r>
      <w:r>
        <w:rPr>
          <w:rFonts w:hint="eastAsia" w:ascii="仿宋_GB2312" w:hAnsi="仿宋_GB2312" w:eastAsia="仿宋_GB2312" w:cs="仿宋_GB2312"/>
          <w:bCs/>
          <w:color w:val="auto"/>
          <w:sz w:val="32"/>
          <w:szCs w:val="32"/>
          <w:highlight w:val="none"/>
          <w:lang w:val="en-US" w:eastAsia="zh-CN"/>
        </w:rPr>
        <w:t>给</w:t>
      </w:r>
      <w:r>
        <w:rPr>
          <w:rFonts w:hint="eastAsia" w:ascii="仿宋_GB2312" w:hAnsi="仿宋_GB2312" w:eastAsia="仿宋_GB2312" w:cs="仿宋_GB2312"/>
          <w:bCs/>
          <w:color w:val="auto"/>
          <w:sz w:val="32"/>
          <w:szCs w:val="32"/>
          <w:highlight w:val="none"/>
          <w:lang w:eastAsia="zh-CN"/>
        </w:rPr>
        <w:t>予最高300万元一次性奖励；对年度接待来厦境外过夜游客排名前列的旅行社给予最高60万元奖励。</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lang w:val="en-US" w:eastAsia="zh-CN"/>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十二</w:t>
      </w:r>
      <w:r>
        <w:rPr>
          <w:rFonts w:hint="eastAsia" w:ascii="黑体" w:hAnsi="黑体" w:eastAsia="黑体" w:cs="黑体"/>
          <w:bCs/>
          <w:color w:val="auto"/>
          <w:sz w:val="32"/>
          <w:szCs w:val="32"/>
          <w:highlight w:val="none"/>
        </w:rPr>
        <w:t>条</w:t>
      </w:r>
      <w:r>
        <w:rPr>
          <w:rFonts w:hint="eastAsia" w:ascii="仿宋_GB2312" w:hAnsi="仿宋_GB2312" w:eastAsia="仿宋_GB2312" w:cs="仿宋_GB2312"/>
          <w:bCs/>
          <w:color w:val="auto"/>
          <w:sz w:val="32"/>
          <w:szCs w:val="32"/>
          <w:highlight w:val="none"/>
          <w:lang w:val="en-US" w:eastAsia="zh-CN"/>
        </w:rPr>
        <w:t xml:space="preserve">  项目奖补金额在专项资金预算额度内进行分配，若奖补金额超出预算额度，项目奖补金额将予以下调。</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rPr>
      </w:pPr>
      <w:r>
        <w:rPr>
          <w:rFonts w:hint="eastAsia" w:ascii="黑体" w:hAnsi="黑体" w:eastAsia="黑体" w:cs="黑体"/>
          <w:bCs/>
          <w:color w:val="auto"/>
          <w:sz w:val="32"/>
          <w:szCs w:val="32"/>
          <w:highlight w:val="none"/>
          <w:lang w:eastAsia="zh-CN"/>
        </w:rPr>
        <w:t>第十</w:t>
      </w:r>
      <w:r>
        <w:rPr>
          <w:rFonts w:hint="eastAsia" w:ascii="黑体" w:hAnsi="黑体" w:eastAsia="黑体" w:cs="黑体"/>
          <w:bCs/>
          <w:color w:val="auto"/>
          <w:sz w:val="32"/>
          <w:szCs w:val="32"/>
          <w:highlight w:val="none"/>
          <w:lang w:val="en-US" w:eastAsia="zh-CN"/>
        </w:rPr>
        <w:t>三</w:t>
      </w:r>
      <w:r>
        <w:rPr>
          <w:rFonts w:hint="eastAsia" w:ascii="黑体" w:hAnsi="黑体" w:eastAsia="黑体" w:cs="黑体"/>
          <w:bCs/>
          <w:color w:val="auto"/>
          <w:sz w:val="32"/>
          <w:szCs w:val="32"/>
          <w:highlight w:val="none"/>
          <w:lang w:eastAsia="zh-CN"/>
        </w:rPr>
        <w:t>条</w:t>
      </w:r>
      <w:r>
        <w:rPr>
          <w:rFonts w:hint="eastAsia" w:ascii="黑体" w:hAnsi="黑体" w:eastAsia="黑体" w:cs="黑体"/>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lang w:val="en-US" w:eastAsia="zh-CN"/>
        </w:rPr>
        <w:t xml:space="preserve"> 扶持的项目投资内容主要包括与国际化消费环境建设密切相关的设施建设改造、设备购置安装、软件开发购置及培训费用等。项目投资额核定根据</w:t>
      </w:r>
      <w:r>
        <w:rPr>
          <w:rFonts w:hint="eastAsia" w:ascii="仿宋_GB2312" w:hAnsi="仿宋_GB2312" w:eastAsia="仿宋_GB2312" w:cs="仿宋_GB2312"/>
          <w:bCs/>
          <w:color w:val="auto"/>
          <w:sz w:val="32"/>
          <w:szCs w:val="32"/>
          <w:highlight w:val="none"/>
          <w:u w:val="none"/>
          <w:lang w:val="en-US" w:eastAsia="zh-CN"/>
        </w:rPr>
        <w:t>2025年10月至2027年9月期间开具的发票金额（剔除可抵扣的增值税）</w:t>
      </w:r>
      <w:r>
        <w:rPr>
          <w:rFonts w:hint="eastAsia" w:ascii="仿宋_GB2312" w:hAnsi="仿宋_GB2312" w:eastAsia="仿宋_GB2312" w:cs="仿宋_GB2312"/>
          <w:bCs/>
          <w:color w:val="auto"/>
          <w:sz w:val="32"/>
          <w:szCs w:val="32"/>
          <w:highlight w:val="none"/>
          <w:lang w:val="en-US" w:eastAsia="zh-CN"/>
        </w:rPr>
        <w:t>，结合实际付款及合同情况予以认定</w:t>
      </w:r>
      <w:r>
        <w:rPr>
          <w:rFonts w:hint="eastAsia" w:ascii="仿宋_GB2312" w:hAnsi="仿宋_GB2312" w:eastAsia="仿宋_GB2312" w:cs="仿宋_GB2312"/>
          <w:bCs/>
          <w:color w:val="auto"/>
          <w:sz w:val="32"/>
          <w:szCs w:val="32"/>
          <w:highlight w:val="none"/>
        </w:rPr>
        <w:t>。</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rPr>
          <w:rFonts w:hint="eastAsia" w:ascii="仿宋_GB2312" w:hAnsi="仿宋_GB2312" w:eastAsia="仿宋_GB2312" w:cs="仿宋_GB2312"/>
          <w:bCs/>
          <w:color w:val="auto"/>
          <w:sz w:val="32"/>
          <w:szCs w:val="32"/>
          <w:highlight w:val="none"/>
          <w:lang w:val="en-US" w:eastAsia="zh-CN"/>
        </w:rPr>
      </w:pPr>
    </w:p>
    <w:p>
      <w:pPr>
        <w:keepNext w:val="0"/>
        <w:keepLines w:val="0"/>
        <w:pageBreakBefore w:val="0"/>
        <w:widowControl/>
        <w:numPr>
          <w:ilvl w:val="-1"/>
          <w:numId w:val="0"/>
        </w:numPr>
        <w:pBdr>
          <w:top w:val="none" w:color="auto" w:sz="0" w:space="0"/>
          <w:left w:val="none" w:color="auto" w:sz="0" w:space="0"/>
          <w:bottom w:val="none" w:color="auto" w:sz="0" w:space="0"/>
          <w:right w:val="none" w:color="auto" w:sz="0" w:space="0"/>
          <w:between w:val="none" w:color="auto" w:sz="0" w:space="0"/>
        </w:pBdr>
        <w:kinsoku/>
        <w:wordWrap/>
        <w:overflowPunct w:val="0"/>
        <w:topLinePunct w:val="0"/>
        <w:autoSpaceDE/>
        <w:autoSpaceDN/>
        <w:bidi w:val="0"/>
        <w:adjustRightInd w:val="0"/>
        <w:snapToGrid w:val="0"/>
        <w:spacing w:beforeLines="0" w:after="0" w:afterLines="0" w:line="600" w:lineRule="exact"/>
        <w:ind w:left="0" w:leftChars="0" w:right="0" w:rightChars="0" w:firstLine="0" w:firstLineChars="0"/>
        <w:contextualSpacing w:val="0"/>
        <w:jc w:val="center"/>
        <w:textAlignment w:val="baseline"/>
        <w:outlineLvl w:val="9"/>
        <w:rPr>
          <w:rFonts w:hint="eastAsia" w:ascii="黑体" w:hAnsi="黑体" w:eastAsia="黑体" w:cs="黑体"/>
          <w:b w:val="0"/>
          <w:bCs w:val="0"/>
          <w:sz w:val="32"/>
          <w:szCs w:val="32"/>
          <w:highlight w:val="none"/>
          <w:lang w:eastAsia="zh-CN" w:bidi="ar-SA"/>
        </w:rPr>
      </w:pPr>
      <w:r>
        <w:rPr>
          <w:rFonts w:hint="eastAsia" w:ascii="黑体" w:hAnsi="黑体" w:eastAsia="黑体" w:cs="黑体"/>
          <w:b w:val="0"/>
          <w:bCs w:val="0"/>
          <w:sz w:val="32"/>
          <w:szCs w:val="32"/>
          <w:highlight w:val="none"/>
          <w:lang w:eastAsia="zh-CN" w:bidi="ar-SA"/>
        </w:rPr>
        <w:t>第</w:t>
      </w:r>
      <w:r>
        <w:rPr>
          <w:rFonts w:hint="eastAsia" w:ascii="黑体" w:hAnsi="黑体" w:eastAsia="黑体" w:cs="黑体"/>
          <w:b w:val="0"/>
          <w:bCs w:val="0"/>
          <w:sz w:val="32"/>
          <w:szCs w:val="32"/>
          <w:highlight w:val="none"/>
          <w:lang w:val="en-US" w:eastAsia="zh-CN" w:bidi="ar-SA"/>
        </w:rPr>
        <w:t>四</w:t>
      </w:r>
      <w:r>
        <w:rPr>
          <w:rFonts w:hint="eastAsia" w:ascii="黑体" w:hAnsi="黑体" w:eastAsia="黑体" w:cs="黑体"/>
          <w:b w:val="0"/>
          <w:bCs w:val="0"/>
          <w:sz w:val="32"/>
          <w:szCs w:val="32"/>
          <w:highlight w:val="none"/>
          <w:lang w:eastAsia="zh-CN" w:bidi="ar-SA"/>
        </w:rPr>
        <w:t>章</w:t>
      </w:r>
      <w:r>
        <w:rPr>
          <w:rFonts w:hint="eastAsia" w:ascii="黑体" w:hAnsi="黑体" w:eastAsia="黑体" w:cs="黑体"/>
          <w:b w:val="0"/>
          <w:bCs w:val="0"/>
          <w:sz w:val="32"/>
          <w:szCs w:val="32"/>
          <w:highlight w:val="none"/>
          <w:lang w:val="en-US" w:eastAsia="zh-CN" w:bidi="ar-SA"/>
        </w:rPr>
        <w:t xml:space="preserve">  </w:t>
      </w:r>
      <w:r>
        <w:rPr>
          <w:rFonts w:hint="eastAsia" w:ascii="黑体" w:hAnsi="黑体" w:eastAsia="黑体" w:cs="黑体"/>
          <w:b w:val="0"/>
          <w:bCs/>
          <w:sz w:val="36"/>
          <w:szCs w:val="36"/>
          <w:highlight w:val="none"/>
          <w:lang w:eastAsia="zh-CN" w:bidi="ar"/>
        </w:rPr>
        <w:t>申报、审核和资金拨付</w:t>
      </w:r>
    </w:p>
    <w:p>
      <w:pPr>
        <w:keepNext w:val="0"/>
        <w:keepLines w:val="0"/>
        <w:pageBreakBefore w:val="0"/>
        <w:widowControl w:val="0"/>
        <w:numPr>
          <w:ilvl w:val="-1"/>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0" w:afterLines="0" w:line="600" w:lineRule="exact"/>
        <w:ind w:firstLine="640" w:firstLineChars="200"/>
        <w:contextualSpacing w:val="0"/>
        <w:jc w:val="both"/>
        <w:textAlignment w:val="auto"/>
        <w:outlineLvl w:val="9"/>
        <w:rPr>
          <w:rFonts w:hint="eastAsia" w:ascii="仿宋_GB2312" w:hAnsi="仿宋_GB2312" w:eastAsia="仿宋_GB2312" w:cs="仿宋_GB2312"/>
          <w:bCs/>
          <w:color w:val="auto"/>
          <w:kern w:val="2"/>
          <w:sz w:val="32"/>
          <w:szCs w:val="32"/>
          <w:highlight w:val="none"/>
          <w:lang w:val="en-US" w:eastAsia="zh-CN" w:bidi="ar-SA"/>
        </w:rPr>
      </w:pPr>
      <w:r>
        <w:rPr>
          <w:rFonts w:hint="eastAsia" w:ascii="黑体" w:hAnsi="黑体" w:eastAsia="黑体" w:cs="黑体"/>
          <w:bCs/>
          <w:color w:val="auto"/>
          <w:kern w:val="2"/>
          <w:sz w:val="32"/>
          <w:szCs w:val="32"/>
          <w:highlight w:val="none"/>
          <w:lang w:val="en-US" w:eastAsia="zh-CN" w:bidi="ar-SA"/>
        </w:rPr>
        <w:t xml:space="preserve">第十四条 </w:t>
      </w:r>
      <w:r>
        <w:rPr>
          <w:rFonts w:hint="eastAsia" w:ascii="仿宋_GB2312" w:hAnsi="仿宋_GB2312" w:eastAsia="仿宋_GB2312" w:cs="仿宋_GB2312"/>
          <w:bCs/>
          <w:color w:val="auto"/>
          <w:kern w:val="2"/>
          <w:sz w:val="32"/>
          <w:szCs w:val="32"/>
          <w:highlight w:val="none"/>
          <w:lang w:val="en-US" w:eastAsia="zh-CN" w:bidi="ar-SA"/>
        </w:rPr>
        <w:t xml:space="preserve"> 项目申报单位应为项目经营主体，申报单位为企业法人的，应依法注册登记，具备健全的财务管理制度，财务状况良好，近三年内无严重违规违法记录及重大安全生产责任事故。</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黑体" w:hAnsi="黑体" w:eastAsia="黑体" w:cs="黑体"/>
          <w:bCs/>
          <w:color w:val="auto"/>
          <w:sz w:val="32"/>
          <w:szCs w:val="32"/>
          <w:highlight w:val="none"/>
          <w:lang w:eastAsia="zh-CN"/>
        </w:rPr>
        <w:t>第十</w:t>
      </w:r>
      <w:r>
        <w:rPr>
          <w:rFonts w:hint="eastAsia" w:ascii="黑体" w:hAnsi="黑体" w:eastAsia="黑体" w:cs="黑体"/>
          <w:bCs/>
          <w:color w:val="auto"/>
          <w:sz w:val="32"/>
          <w:szCs w:val="32"/>
          <w:highlight w:val="none"/>
          <w:lang w:val="en-US" w:eastAsia="zh-CN"/>
        </w:rPr>
        <w:t>五</w:t>
      </w:r>
      <w:r>
        <w:rPr>
          <w:rFonts w:hint="eastAsia" w:ascii="黑体" w:hAnsi="黑体" w:eastAsia="黑体" w:cs="黑体"/>
          <w:bCs/>
          <w:color w:val="auto"/>
          <w:sz w:val="32"/>
          <w:szCs w:val="32"/>
          <w:highlight w:val="none"/>
          <w:lang w:eastAsia="zh-CN"/>
        </w:rPr>
        <w:t xml:space="preserve">条 </w:t>
      </w:r>
      <w:r>
        <w:rPr>
          <w:rFonts w:hint="eastAsia" w:ascii="黑体" w:hAnsi="黑体" w:eastAsia="黑体" w:cs="黑体"/>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lang w:eastAsia="zh-CN"/>
        </w:rPr>
        <w:t>项目实行“分类申报、逐级审核”机制，申报和审核程序如下：</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（一）发布通知。市商务局在政府门户网站上发布项目申报通知（指南），细化相关要求。</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val="en-US" w:eastAsia="zh-CN"/>
        </w:rPr>
        <w:t>（二）</w:t>
      </w:r>
      <w:r>
        <w:rPr>
          <w:rFonts w:hint="eastAsia" w:ascii="仿宋_GB2312" w:hAnsi="仿宋_GB2312" w:eastAsia="仿宋_GB2312" w:cs="仿宋_GB2312"/>
          <w:bCs/>
          <w:color w:val="auto"/>
          <w:sz w:val="32"/>
          <w:szCs w:val="32"/>
          <w:highlight w:val="none"/>
          <w:lang w:eastAsia="zh-CN"/>
        </w:rPr>
        <w:t>项目申报。非公共项目由申报单位向各区商务主管部门提交详细申请材料，跨区的项目由项目投资建设主体向其所在区申报；公共项目、以奖代补项目由申报单位向各市级业务主管部门提交详细申请材料。</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val="en-US" w:eastAsia="zh-CN"/>
        </w:rPr>
        <w:t>（三）</w:t>
      </w:r>
      <w:r>
        <w:rPr>
          <w:rFonts w:hint="eastAsia" w:ascii="仿宋_GB2312" w:hAnsi="仿宋_GB2312" w:eastAsia="仿宋_GB2312" w:cs="仿宋_GB2312"/>
          <w:bCs/>
          <w:color w:val="auto"/>
          <w:sz w:val="32"/>
          <w:szCs w:val="32"/>
          <w:highlight w:val="none"/>
          <w:lang w:eastAsia="zh-CN"/>
        </w:rPr>
        <w:t>项目初审。各区</w:t>
      </w:r>
      <w:r>
        <w:rPr>
          <w:rFonts w:hint="eastAsia" w:ascii="仿宋_GB2312" w:hAnsi="仿宋_GB2312" w:eastAsia="仿宋_GB2312" w:cs="仿宋_GB2312"/>
          <w:bCs/>
          <w:color w:val="auto"/>
          <w:sz w:val="32"/>
          <w:szCs w:val="32"/>
          <w:highlight w:val="none"/>
          <w:lang w:val="en-US" w:eastAsia="zh-CN"/>
        </w:rPr>
        <w:t>或市级业务主管部门</w:t>
      </w:r>
      <w:r>
        <w:rPr>
          <w:rFonts w:hint="eastAsia" w:ascii="仿宋_GB2312" w:hAnsi="仿宋_GB2312" w:eastAsia="仿宋_GB2312" w:cs="仿宋_GB2312"/>
          <w:bCs/>
          <w:color w:val="auto"/>
          <w:sz w:val="32"/>
          <w:szCs w:val="32"/>
          <w:highlight w:val="none"/>
          <w:lang w:eastAsia="zh-CN"/>
        </w:rPr>
        <w:t>视情会同有关单位对项目进行初审。初审后区商务主管部门</w:t>
      </w:r>
      <w:r>
        <w:rPr>
          <w:rFonts w:hint="eastAsia" w:ascii="仿宋_GB2312" w:hAnsi="仿宋_GB2312" w:eastAsia="仿宋_GB2312" w:cs="仿宋_GB2312"/>
          <w:bCs/>
          <w:color w:val="auto"/>
          <w:sz w:val="32"/>
          <w:szCs w:val="32"/>
          <w:highlight w:val="none"/>
          <w:lang w:val="en-US" w:eastAsia="zh-CN"/>
        </w:rPr>
        <w:t>或市级业务主管部门</w:t>
      </w:r>
      <w:r>
        <w:rPr>
          <w:rFonts w:hint="eastAsia" w:ascii="仿宋_GB2312" w:hAnsi="仿宋_GB2312" w:eastAsia="仿宋_GB2312" w:cs="仿宋_GB2312"/>
          <w:bCs/>
          <w:color w:val="auto"/>
          <w:sz w:val="32"/>
          <w:szCs w:val="32"/>
          <w:highlight w:val="none"/>
          <w:lang w:eastAsia="zh-CN"/>
        </w:rPr>
        <w:t>提交市商务局。除了书面材料审核，各区</w:t>
      </w:r>
      <w:r>
        <w:rPr>
          <w:rFonts w:hint="eastAsia" w:ascii="仿宋_GB2312" w:hAnsi="仿宋_GB2312" w:eastAsia="仿宋_GB2312" w:cs="仿宋_GB2312"/>
          <w:bCs/>
          <w:color w:val="auto"/>
          <w:sz w:val="32"/>
          <w:szCs w:val="32"/>
          <w:highlight w:val="none"/>
          <w:lang w:val="en-US" w:eastAsia="zh-CN"/>
        </w:rPr>
        <w:t>或市级业务主管部门</w:t>
      </w:r>
      <w:r>
        <w:rPr>
          <w:rFonts w:hint="eastAsia" w:ascii="仿宋_GB2312" w:hAnsi="仿宋_GB2312" w:eastAsia="仿宋_GB2312" w:cs="仿宋_GB2312"/>
          <w:bCs/>
          <w:color w:val="auto"/>
          <w:sz w:val="32"/>
          <w:szCs w:val="32"/>
          <w:highlight w:val="none"/>
          <w:lang w:eastAsia="zh-CN"/>
        </w:rPr>
        <w:t>还应开展项目现场查看，重点对项目是否符合以下要求进行审查：</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1</w:t>
      </w:r>
      <w:r>
        <w:rPr>
          <w:rFonts w:hint="eastAsia" w:ascii="仿宋_GB2312" w:hAnsi="仿宋_GB2312" w:eastAsia="仿宋_GB2312" w:cs="仿宋_GB2312"/>
          <w:bCs/>
          <w:color w:val="auto"/>
          <w:sz w:val="32"/>
          <w:szCs w:val="32"/>
          <w:highlight w:val="none"/>
          <w:lang w:eastAsia="zh-CN"/>
        </w:rPr>
        <w:t>）扶持资金的支持范围；</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　</w:t>
      </w:r>
      <w:r>
        <w:rPr>
          <w:rFonts w:hint="eastAsia" w:ascii="仿宋_GB2312" w:hAnsi="仿宋_GB2312" w:eastAsia="仿宋_GB2312" w:cs="仿宋_GB2312"/>
          <w:bCs/>
          <w:color w:val="auto"/>
          <w:sz w:val="32"/>
          <w:szCs w:val="32"/>
          <w:highlight w:val="none"/>
          <w:lang w:val="en-US" w:eastAsia="zh-CN"/>
        </w:rPr>
        <w:t xml:space="preserve">  （2）</w:t>
      </w:r>
      <w:r>
        <w:rPr>
          <w:rFonts w:hint="eastAsia" w:ascii="仿宋_GB2312" w:hAnsi="仿宋_GB2312" w:eastAsia="仿宋_GB2312" w:cs="仿宋_GB2312"/>
          <w:bCs/>
          <w:color w:val="auto"/>
          <w:sz w:val="32"/>
          <w:szCs w:val="32"/>
          <w:highlight w:val="none"/>
          <w:lang w:eastAsia="zh-CN"/>
        </w:rPr>
        <w:t>项目的投资主体明确、主要建设条件基本落实；</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lang w:eastAsia="zh-CN"/>
        </w:rPr>
        <w:t>）项目建设目标、建设预算、建设内容合理；</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4</w:t>
      </w:r>
      <w:r>
        <w:rPr>
          <w:rFonts w:hint="eastAsia" w:ascii="仿宋_GB2312" w:hAnsi="仿宋_GB2312" w:eastAsia="仿宋_GB2312" w:cs="仿宋_GB2312"/>
          <w:bCs/>
          <w:color w:val="auto"/>
          <w:sz w:val="32"/>
          <w:szCs w:val="32"/>
          <w:highlight w:val="none"/>
          <w:lang w:eastAsia="zh-CN"/>
        </w:rPr>
        <w:t>）提交的相关文件有效、规范；</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项目未享受其他中央财政资金补助，</w:t>
      </w:r>
      <w:r>
        <w:rPr>
          <w:rFonts w:hint="eastAsia" w:ascii="仿宋_GB2312" w:hAnsi="仿宋_GB2312" w:eastAsia="仿宋_GB2312" w:cs="仿宋_GB2312"/>
          <w:bCs/>
          <w:color w:val="auto"/>
          <w:sz w:val="32"/>
          <w:szCs w:val="32"/>
          <w:highlight w:val="none"/>
          <w:lang w:eastAsia="zh-CN"/>
        </w:rPr>
        <w:t>项目投资主体不存在需联合惩戒的事项。</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default"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（四）项目复核。市商务局对初审通过的项目进行复核。根据实际要求修改补正。</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yellow"/>
          <w:lang w:eastAsia="zh-CN"/>
        </w:rPr>
      </w:pPr>
      <w:r>
        <w:rPr>
          <w:rFonts w:hint="eastAsia" w:ascii="仿宋_GB2312" w:hAnsi="仿宋_GB2312" w:eastAsia="仿宋_GB2312" w:cs="仿宋_GB2312"/>
          <w:bCs/>
          <w:color w:val="auto"/>
          <w:sz w:val="32"/>
          <w:szCs w:val="32"/>
          <w:highlight w:val="none"/>
          <w:lang w:eastAsia="zh-CN"/>
        </w:rPr>
        <w:t>（五）专家评审（项目投资额</w:t>
      </w:r>
      <w:r>
        <w:rPr>
          <w:rFonts w:hint="eastAsia" w:ascii="仿宋_GB2312" w:hAnsi="仿宋_GB2312" w:eastAsia="仿宋_GB2312" w:cs="仿宋_GB2312"/>
          <w:bCs/>
          <w:color w:val="auto"/>
          <w:sz w:val="32"/>
          <w:szCs w:val="32"/>
          <w:highlight w:val="none"/>
          <w:lang w:val="en-US" w:eastAsia="zh-CN"/>
        </w:rPr>
        <w:t>200万元及以下的无需评审</w:t>
      </w:r>
      <w:r>
        <w:rPr>
          <w:rFonts w:hint="eastAsia" w:ascii="仿宋_GB2312" w:hAnsi="仿宋_GB2312" w:eastAsia="仿宋_GB2312" w:cs="仿宋_GB2312"/>
          <w:bCs/>
          <w:color w:val="auto"/>
          <w:sz w:val="32"/>
          <w:szCs w:val="32"/>
          <w:highlight w:val="none"/>
          <w:lang w:eastAsia="zh-CN"/>
        </w:rPr>
        <w:t>）。市商务局组织力量对通过复核的直接补助项目进行评审论证。评审专家由业务专家及财务专家组成，一般不少于5人。评审可采取会议评审或现场评审的方式举行。</w:t>
      </w:r>
      <w:r>
        <w:rPr>
          <w:rFonts w:hint="eastAsia" w:ascii="仿宋_GB2312" w:hAnsi="仿宋_GB2312" w:eastAsia="仿宋_GB2312" w:cs="仿宋_GB2312"/>
          <w:bCs/>
          <w:color w:val="auto"/>
          <w:sz w:val="32"/>
          <w:szCs w:val="32"/>
          <w:highlight w:val="none"/>
        </w:rPr>
        <w:t>建立项目综合考评体系，根据项目的</w:t>
      </w:r>
      <w:r>
        <w:rPr>
          <w:rFonts w:hint="eastAsia" w:ascii="仿宋_GB2312" w:hAnsi="仿宋_GB2312" w:eastAsia="仿宋_GB2312" w:cs="仿宋_GB2312"/>
          <w:bCs/>
          <w:color w:val="auto"/>
          <w:sz w:val="32"/>
          <w:szCs w:val="32"/>
          <w:highlight w:val="none"/>
          <w:lang w:val="en-US" w:eastAsia="zh-CN"/>
        </w:rPr>
        <w:t>建设主体（20分）、建设内容（15分）、投资金额（20分）、进度安排（15分）及</w:t>
      </w:r>
      <w:r>
        <w:rPr>
          <w:rFonts w:hint="eastAsia" w:ascii="仿宋_GB2312" w:hAnsi="仿宋_GB2312" w:eastAsia="仿宋_GB2312" w:cs="仿宋_GB2312"/>
          <w:bCs/>
          <w:color w:val="auto"/>
          <w:sz w:val="32"/>
          <w:szCs w:val="32"/>
          <w:highlight w:val="none"/>
        </w:rPr>
        <w:t>绩效目标</w:t>
      </w:r>
      <w:r>
        <w:rPr>
          <w:rFonts w:hint="eastAsia" w:ascii="仿宋_GB2312" w:hAnsi="仿宋_GB2312" w:eastAsia="仿宋_GB2312" w:cs="仿宋_GB2312"/>
          <w:bCs/>
          <w:color w:val="auto"/>
          <w:sz w:val="32"/>
          <w:szCs w:val="32"/>
          <w:highlight w:val="none"/>
          <w:lang w:val="en-US" w:eastAsia="zh-CN"/>
        </w:rPr>
        <w:t>（30分）等</w:t>
      </w:r>
      <w:r>
        <w:rPr>
          <w:rFonts w:hint="eastAsia" w:ascii="仿宋_GB2312" w:hAnsi="仿宋_GB2312" w:eastAsia="仿宋_GB2312" w:cs="仿宋_GB2312"/>
          <w:bCs/>
          <w:color w:val="auto"/>
          <w:sz w:val="32"/>
          <w:szCs w:val="32"/>
          <w:highlight w:val="none"/>
        </w:rPr>
        <w:t>情况进行考评，考评得分</w:t>
      </w:r>
      <w:r>
        <w:rPr>
          <w:rFonts w:hint="eastAsia" w:ascii="仿宋_GB2312" w:hAnsi="仿宋_GB2312" w:eastAsia="仿宋_GB2312" w:cs="仿宋_GB2312"/>
          <w:bCs/>
          <w:color w:val="auto"/>
          <w:sz w:val="32"/>
          <w:szCs w:val="32"/>
          <w:highlight w:val="none"/>
          <w:lang w:val="en-US" w:eastAsia="zh-CN"/>
        </w:rPr>
        <w:t>在80分以上的优质</w:t>
      </w:r>
      <w:r>
        <w:rPr>
          <w:rFonts w:hint="eastAsia" w:ascii="仿宋_GB2312" w:hAnsi="仿宋_GB2312" w:eastAsia="仿宋_GB2312" w:cs="仿宋_GB2312"/>
          <w:bCs/>
          <w:color w:val="auto"/>
          <w:sz w:val="32"/>
          <w:szCs w:val="32"/>
          <w:highlight w:val="none"/>
        </w:rPr>
        <w:t>项目</w:t>
      </w:r>
      <w:r>
        <w:rPr>
          <w:rFonts w:hint="eastAsia" w:ascii="仿宋_GB2312" w:hAnsi="仿宋_GB2312" w:eastAsia="仿宋_GB2312" w:cs="仿宋_GB2312"/>
          <w:bCs/>
          <w:color w:val="auto"/>
          <w:sz w:val="32"/>
          <w:szCs w:val="32"/>
          <w:highlight w:val="none"/>
          <w:lang w:eastAsia="zh-CN"/>
        </w:rPr>
        <w:t>评审予以通过。</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val="en-US" w:eastAsia="zh-CN"/>
        </w:rPr>
        <w:t>（六）</w:t>
      </w:r>
      <w:r>
        <w:rPr>
          <w:rFonts w:hint="eastAsia" w:ascii="仿宋_GB2312" w:hAnsi="仿宋_GB2312" w:eastAsia="仿宋_GB2312" w:cs="仿宋_GB2312"/>
          <w:bCs/>
          <w:color w:val="auto"/>
          <w:sz w:val="32"/>
          <w:szCs w:val="32"/>
          <w:highlight w:val="none"/>
          <w:lang w:eastAsia="zh-CN"/>
        </w:rPr>
        <w:t>项目公示。拟列入试点的项目由市商务局在门户网站对社会进行公示，公示时间不少于5个工作日。公示无异议的项目列入试点。</w:t>
      </w:r>
    </w:p>
    <w:p>
      <w:pPr>
        <w:numPr>
          <w:ilvl w:val="-1"/>
          <w:numId w:val="0"/>
        </w:num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（七）资金拨付。市商务局根据试点项目情况提出资金安排意见。直接补助项目市商务局</w:t>
      </w:r>
      <w:r>
        <w:rPr>
          <w:rFonts w:hint="eastAsia" w:ascii="仿宋_GB2312" w:hAnsi="仿宋_GB2312" w:eastAsia="仿宋_GB2312" w:cs="仿宋_GB2312"/>
          <w:bCs/>
          <w:color w:val="auto"/>
          <w:sz w:val="32"/>
          <w:szCs w:val="32"/>
          <w:highlight w:val="none"/>
          <w:lang w:val="en-US" w:eastAsia="zh-CN"/>
        </w:rPr>
        <w:t>参考试点</w:t>
      </w:r>
      <w:r>
        <w:rPr>
          <w:rFonts w:hint="eastAsia" w:ascii="仿宋_GB2312" w:hAnsi="仿宋_GB2312" w:eastAsia="仿宋_GB2312" w:cs="仿宋_GB2312"/>
          <w:bCs/>
          <w:color w:val="auto"/>
          <w:sz w:val="32"/>
          <w:szCs w:val="32"/>
          <w:highlight w:val="none"/>
          <w:lang w:eastAsia="zh-CN"/>
        </w:rPr>
        <w:t>项目进展情况分期核拨资金</w:t>
      </w:r>
      <w:r>
        <w:rPr>
          <w:rFonts w:hint="eastAsia" w:ascii="仿宋_GB2312" w:hAnsi="仿宋_GB2312" w:eastAsia="仿宋_GB2312" w:cs="仿宋_GB2312"/>
          <w:bCs/>
          <w:color w:val="auto"/>
          <w:sz w:val="32"/>
          <w:szCs w:val="32"/>
          <w:highlight w:val="none"/>
          <w:lang w:val="en-US" w:eastAsia="zh-CN"/>
        </w:rPr>
        <w:t>。以奖代补项目完成</w:t>
      </w:r>
      <w:r>
        <w:rPr>
          <w:rFonts w:hint="eastAsia" w:ascii="仿宋_GB2312" w:hAnsi="仿宋_GB2312" w:eastAsia="仿宋_GB2312" w:cs="仿宋_GB2312"/>
          <w:bCs/>
          <w:color w:val="auto"/>
          <w:sz w:val="32"/>
          <w:szCs w:val="32"/>
          <w:highlight w:val="none"/>
          <w:lang w:eastAsia="zh-CN"/>
        </w:rPr>
        <w:t>后，</w:t>
      </w:r>
      <w:r>
        <w:rPr>
          <w:rFonts w:hint="eastAsia" w:ascii="仿宋_GB2312" w:hAnsi="仿宋_GB2312" w:eastAsia="仿宋_GB2312" w:cs="仿宋_GB2312"/>
          <w:bCs/>
          <w:color w:val="auto"/>
          <w:sz w:val="32"/>
          <w:szCs w:val="32"/>
          <w:highlight w:val="none"/>
          <w:lang w:val="en-US" w:eastAsia="zh-CN"/>
        </w:rPr>
        <w:t>企业</w:t>
      </w:r>
      <w:r>
        <w:rPr>
          <w:rFonts w:hint="eastAsia" w:ascii="仿宋_GB2312" w:hAnsi="仿宋_GB2312" w:eastAsia="仿宋_GB2312" w:cs="仿宋_GB2312"/>
          <w:bCs/>
          <w:color w:val="auto"/>
          <w:sz w:val="32"/>
          <w:szCs w:val="32"/>
          <w:highlight w:val="none"/>
          <w:lang w:eastAsia="zh-CN"/>
        </w:rPr>
        <w:t>向各市级业务主管部门提交</w:t>
      </w:r>
      <w:r>
        <w:rPr>
          <w:rFonts w:hint="eastAsia" w:ascii="仿宋_GB2312" w:hAnsi="仿宋_GB2312" w:eastAsia="仿宋_GB2312" w:cs="仿宋_GB2312"/>
          <w:bCs/>
          <w:color w:val="auto"/>
          <w:sz w:val="32"/>
          <w:szCs w:val="32"/>
          <w:highlight w:val="none"/>
          <w:lang w:val="en-US" w:eastAsia="zh-CN"/>
        </w:rPr>
        <w:t>资金拨付</w:t>
      </w:r>
      <w:r>
        <w:rPr>
          <w:rFonts w:hint="eastAsia" w:ascii="仿宋_GB2312" w:hAnsi="仿宋_GB2312" w:eastAsia="仿宋_GB2312" w:cs="仿宋_GB2312"/>
          <w:bCs/>
          <w:color w:val="auto"/>
          <w:sz w:val="32"/>
          <w:szCs w:val="32"/>
          <w:highlight w:val="none"/>
          <w:lang w:eastAsia="zh-CN"/>
        </w:rPr>
        <w:t>申请材料，市级业务主管部门</w:t>
      </w:r>
      <w:r>
        <w:rPr>
          <w:rFonts w:hint="eastAsia" w:ascii="仿宋_GB2312" w:hAnsi="仿宋_GB2312" w:eastAsia="仿宋_GB2312" w:cs="仿宋_GB2312"/>
          <w:bCs/>
          <w:color w:val="auto"/>
          <w:sz w:val="32"/>
          <w:szCs w:val="32"/>
          <w:highlight w:val="none"/>
          <w:lang w:val="en-US" w:eastAsia="zh-CN"/>
        </w:rPr>
        <w:t>审核</w:t>
      </w:r>
      <w:r>
        <w:rPr>
          <w:rFonts w:hint="eastAsia" w:ascii="仿宋_GB2312" w:hAnsi="仿宋_GB2312" w:eastAsia="仿宋_GB2312" w:cs="仿宋_GB2312"/>
          <w:bCs/>
          <w:color w:val="auto"/>
          <w:sz w:val="32"/>
          <w:szCs w:val="32"/>
          <w:highlight w:val="none"/>
          <w:lang w:eastAsia="zh-CN"/>
        </w:rPr>
        <w:t>后</w:t>
      </w:r>
      <w:r>
        <w:rPr>
          <w:rFonts w:hint="eastAsia" w:ascii="仿宋_GB2312" w:hAnsi="仿宋_GB2312" w:eastAsia="仿宋_GB2312" w:cs="仿宋_GB2312"/>
          <w:bCs/>
          <w:color w:val="auto"/>
          <w:sz w:val="32"/>
          <w:szCs w:val="32"/>
          <w:highlight w:val="none"/>
          <w:lang w:val="en-US" w:eastAsia="zh-CN"/>
        </w:rPr>
        <w:t>报请</w:t>
      </w:r>
      <w:r>
        <w:rPr>
          <w:rFonts w:hint="eastAsia" w:ascii="仿宋_GB2312" w:hAnsi="仿宋_GB2312" w:eastAsia="仿宋_GB2312" w:cs="仿宋_GB2312"/>
          <w:bCs/>
          <w:color w:val="auto"/>
          <w:sz w:val="32"/>
          <w:szCs w:val="32"/>
          <w:highlight w:val="none"/>
          <w:lang w:eastAsia="zh-CN"/>
        </w:rPr>
        <w:t>市财政局核拨</w:t>
      </w:r>
      <w:r>
        <w:rPr>
          <w:rFonts w:hint="eastAsia" w:ascii="仿宋_GB2312" w:hAnsi="仿宋_GB2312" w:eastAsia="仿宋_GB2312" w:cs="仿宋_GB2312"/>
          <w:bCs/>
          <w:color w:val="auto"/>
          <w:sz w:val="32"/>
          <w:szCs w:val="32"/>
          <w:highlight w:val="none"/>
          <w:lang w:val="en-US" w:eastAsia="zh-CN"/>
        </w:rPr>
        <w:t>奖励</w:t>
      </w:r>
      <w:r>
        <w:rPr>
          <w:rFonts w:hint="eastAsia" w:ascii="仿宋_GB2312" w:hAnsi="仿宋_GB2312" w:eastAsia="仿宋_GB2312" w:cs="仿宋_GB2312"/>
          <w:bCs/>
          <w:color w:val="auto"/>
          <w:sz w:val="32"/>
          <w:szCs w:val="32"/>
          <w:highlight w:val="none"/>
          <w:lang w:eastAsia="zh-CN"/>
        </w:rPr>
        <w:t>资金。</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黑体" w:hAnsi="黑体" w:eastAsia="黑体" w:cs="黑体"/>
          <w:bCs/>
          <w:color w:val="auto"/>
          <w:sz w:val="32"/>
          <w:szCs w:val="32"/>
          <w:highlight w:val="none"/>
          <w:lang w:eastAsia="zh-CN"/>
        </w:rPr>
        <w:t>第十</w:t>
      </w:r>
      <w:r>
        <w:rPr>
          <w:rFonts w:hint="eastAsia" w:ascii="黑体" w:hAnsi="黑体" w:eastAsia="黑体" w:cs="黑体"/>
          <w:bCs/>
          <w:color w:val="auto"/>
          <w:sz w:val="32"/>
          <w:szCs w:val="32"/>
          <w:highlight w:val="none"/>
          <w:lang w:val="en-US" w:eastAsia="zh-CN"/>
        </w:rPr>
        <w:t>六</w:t>
      </w:r>
      <w:r>
        <w:rPr>
          <w:rFonts w:hint="eastAsia" w:ascii="黑体" w:hAnsi="黑体" w:eastAsia="黑体" w:cs="黑体"/>
          <w:bCs/>
          <w:color w:val="auto"/>
          <w:sz w:val="32"/>
          <w:szCs w:val="32"/>
          <w:highlight w:val="none"/>
          <w:lang w:eastAsia="zh-CN"/>
        </w:rPr>
        <w:t>条</w:t>
      </w:r>
      <w:r>
        <w:rPr>
          <w:rFonts w:hint="eastAsia" w:ascii="黑体" w:hAnsi="黑体" w:eastAsia="黑体" w:cs="黑体"/>
          <w:bCs/>
          <w:color w:val="auto"/>
          <w:sz w:val="32"/>
          <w:szCs w:val="32"/>
          <w:highlight w:val="none"/>
          <w:lang w:val="en-US" w:eastAsia="zh-CN"/>
        </w:rPr>
        <w:t xml:space="preserve"> </w:t>
      </w:r>
      <w:r>
        <w:rPr>
          <w:rFonts w:hint="eastAsia" w:ascii="黑体" w:hAnsi="黑体" w:eastAsia="黑体" w:cs="黑体"/>
          <w:bCs/>
          <w:color w:val="auto"/>
          <w:sz w:val="32"/>
          <w:szCs w:val="32"/>
          <w:highlight w:val="none"/>
          <w:lang w:eastAsia="zh-CN"/>
        </w:rPr>
        <w:t xml:space="preserve"> </w:t>
      </w:r>
      <w:r>
        <w:rPr>
          <w:rFonts w:hint="eastAsia" w:ascii="仿宋_GB2312" w:hAnsi="仿宋_GB2312" w:eastAsia="仿宋_GB2312" w:cs="仿宋_GB2312"/>
          <w:bCs/>
          <w:color w:val="auto"/>
          <w:sz w:val="32"/>
          <w:szCs w:val="32"/>
          <w:highlight w:val="none"/>
          <w:lang w:eastAsia="zh-CN"/>
        </w:rPr>
        <w:t>项目申报通知（指南）由市商务局制定发布。</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黑体" w:hAnsi="黑体" w:eastAsia="黑体" w:cs="黑体"/>
          <w:bCs/>
          <w:color w:val="auto"/>
          <w:sz w:val="32"/>
          <w:szCs w:val="32"/>
          <w:highlight w:val="none"/>
          <w:lang w:eastAsia="zh-CN"/>
        </w:rPr>
        <w:t>第</w:t>
      </w:r>
      <w:r>
        <w:rPr>
          <w:rFonts w:hint="eastAsia" w:ascii="黑体" w:hAnsi="黑体" w:eastAsia="黑体" w:cs="黑体"/>
          <w:bCs/>
          <w:color w:val="auto"/>
          <w:sz w:val="32"/>
          <w:szCs w:val="32"/>
          <w:highlight w:val="none"/>
          <w:lang w:val="en-US" w:eastAsia="zh-CN"/>
        </w:rPr>
        <w:t>十七</w:t>
      </w:r>
      <w:r>
        <w:rPr>
          <w:rFonts w:hint="eastAsia" w:ascii="黑体" w:hAnsi="黑体" w:eastAsia="黑体" w:cs="黑体"/>
          <w:bCs/>
          <w:color w:val="auto"/>
          <w:sz w:val="32"/>
          <w:szCs w:val="32"/>
          <w:highlight w:val="none"/>
          <w:lang w:eastAsia="zh-CN"/>
        </w:rPr>
        <w:t>条</w:t>
      </w:r>
      <w:r>
        <w:rPr>
          <w:rFonts w:hint="eastAsia" w:ascii="黑体" w:hAnsi="黑体" w:eastAsia="黑体" w:cs="黑体"/>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lang w:eastAsia="zh-CN"/>
        </w:rPr>
        <w:t>直接补助项目应提交以下申报材料：</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（一）项目资金申请报告，包括项目单位基本情况，项目基本情况、项目实施方案（实施</w:t>
      </w:r>
      <w:r>
        <w:rPr>
          <w:rFonts w:hint="eastAsia" w:ascii="仿宋_GB2312" w:hAnsi="仿宋_GB2312" w:eastAsia="仿宋_GB2312" w:cs="仿宋_GB2312"/>
          <w:bCs/>
          <w:color w:val="auto"/>
          <w:sz w:val="32"/>
          <w:szCs w:val="32"/>
          <w:highlight w:val="none"/>
          <w:lang w:val="en-US" w:eastAsia="zh-CN"/>
        </w:rPr>
        <w:t>时间</w:t>
      </w:r>
      <w:r>
        <w:rPr>
          <w:rFonts w:hint="eastAsia" w:ascii="仿宋_GB2312" w:hAnsi="仿宋_GB2312" w:eastAsia="仿宋_GB2312" w:cs="仿宋_GB2312"/>
          <w:bCs/>
          <w:color w:val="auto"/>
          <w:sz w:val="32"/>
          <w:szCs w:val="32"/>
          <w:highlight w:val="none"/>
          <w:lang w:eastAsia="zh-CN"/>
        </w:rPr>
        <w:t>步骤、投资内容及相应投资额、资金来源、使用计划）、预期的社会效益和经济效益分析等。</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二）项目实施批准文件，包括项目审批（核准、备案）文件，涉及基建项目需提供规划、土地、环保等相关部门意见，不涉及基建项目需提供土地批复文件或合法房屋购买（长期租赁）合同。不涉及审批、备案的项目无需提供。</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（三）</w:t>
      </w:r>
      <w:r>
        <w:rPr>
          <w:rFonts w:hint="eastAsia" w:ascii="仿宋_GB2312" w:hAnsi="仿宋_GB2312" w:eastAsia="仿宋_GB2312" w:cs="仿宋_GB2312"/>
          <w:bCs/>
          <w:color w:val="auto"/>
          <w:sz w:val="32"/>
          <w:szCs w:val="32"/>
          <w:highlight w:val="none"/>
          <w:lang w:val="en-US" w:eastAsia="zh-CN"/>
        </w:rPr>
        <w:t>企业</w:t>
      </w:r>
      <w:r>
        <w:rPr>
          <w:rFonts w:hint="eastAsia" w:ascii="仿宋_GB2312" w:hAnsi="仿宋_GB2312" w:eastAsia="仿宋_GB2312" w:cs="仿宋_GB2312"/>
          <w:bCs/>
          <w:color w:val="auto"/>
          <w:sz w:val="32"/>
          <w:szCs w:val="32"/>
          <w:highlight w:val="none"/>
          <w:lang w:eastAsia="zh-CN"/>
        </w:rPr>
        <w:t>上年度财务审计报告或报表。</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（四）承诺书以及申报通知（指南）规定的其他资料。企业可自愿提供</w:t>
      </w:r>
      <w:r>
        <w:rPr>
          <w:rFonts w:hint="eastAsia" w:ascii="仿宋_GB2312" w:hAnsi="仿宋_GB2312" w:eastAsia="仿宋_GB2312" w:cs="仿宋_GB2312"/>
          <w:bCs/>
          <w:color w:val="auto"/>
          <w:sz w:val="32"/>
          <w:szCs w:val="32"/>
          <w:highlight w:val="none"/>
          <w:lang w:val="en-US" w:eastAsia="zh-CN"/>
        </w:rPr>
        <w:t>体现</w:t>
      </w:r>
      <w:r>
        <w:rPr>
          <w:rFonts w:hint="eastAsia" w:ascii="仿宋_GB2312" w:hAnsi="仿宋_GB2312" w:eastAsia="仿宋_GB2312" w:cs="仿宋_GB2312"/>
          <w:bCs/>
          <w:color w:val="auto"/>
          <w:sz w:val="32"/>
          <w:szCs w:val="32"/>
          <w:highlight w:val="none"/>
          <w:lang w:eastAsia="zh-CN"/>
        </w:rPr>
        <w:t>其业务实力的相关佐证材料。</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lang w:eastAsia="zh-CN"/>
        </w:rPr>
        <w:t>项目申报时，各区</w:t>
      </w:r>
      <w:r>
        <w:rPr>
          <w:rFonts w:hint="eastAsia" w:ascii="仿宋_GB2312" w:hAnsi="仿宋_GB2312" w:eastAsia="仿宋_GB2312" w:cs="仿宋_GB2312"/>
          <w:bCs/>
          <w:color w:val="auto"/>
          <w:sz w:val="32"/>
          <w:szCs w:val="32"/>
          <w:highlight w:val="none"/>
          <w:lang w:val="en-US" w:eastAsia="zh-CN"/>
        </w:rPr>
        <w:t>或市级业务主管部门</w:t>
      </w:r>
      <w:r>
        <w:rPr>
          <w:rFonts w:hint="eastAsia" w:ascii="仿宋_GB2312" w:hAnsi="仿宋_GB2312" w:eastAsia="仿宋_GB2312" w:cs="仿宋_GB2312"/>
          <w:bCs/>
          <w:color w:val="auto"/>
          <w:sz w:val="32"/>
          <w:szCs w:val="32"/>
          <w:highlight w:val="none"/>
          <w:lang w:eastAsia="zh-CN"/>
        </w:rPr>
        <w:t>可根据项目建设进展情况适当容缺受理。</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eastAsia="zh-CN"/>
        </w:rPr>
      </w:pPr>
      <w:r>
        <w:rPr>
          <w:rFonts w:hint="eastAsia" w:ascii="黑体" w:hAnsi="黑体" w:eastAsia="黑体" w:cs="黑体"/>
          <w:bCs/>
          <w:color w:val="auto"/>
          <w:sz w:val="32"/>
          <w:szCs w:val="32"/>
          <w:highlight w:val="none"/>
          <w:lang w:eastAsia="zh-CN"/>
        </w:rPr>
        <w:t>第</w:t>
      </w:r>
      <w:r>
        <w:rPr>
          <w:rFonts w:hint="eastAsia" w:ascii="黑体" w:hAnsi="黑体" w:eastAsia="黑体" w:cs="黑体"/>
          <w:bCs/>
          <w:color w:val="auto"/>
          <w:sz w:val="32"/>
          <w:szCs w:val="32"/>
          <w:highlight w:val="none"/>
          <w:lang w:val="en-US" w:eastAsia="zh-CN"/>
        </w:rPr>
        <w:t>十八</w:t>
      </w:r>
      <w:r>
        <w:rPr>
          <w:rFonts w:hint="eastAsia" w:ascii="黑体" w:hAnsi="黑体" w:eastAsia="黑体" w:cs="黑体"/>
          <w:bCs/>
          <w:color w:val="auto"/>
          <w:sz w:val="32"/>
          <w:szCs w:val="32"/>
          <w:highlight w:val="none"/>
          <w:lang w:eastAsia="zh-CN"/>
        </w:rPr>
        <w:t>条</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lang w:eastAsia="zh-CN"/>
        </w:rPr>
        <w:t>项目单位应</w:t>
      </w:r>
      <w:r>
        <w:rPr>
          <w:rFonts w:hint="eastAsia" w:ascii="仿宋_GB2312" w:hAnsi="仿宋_GB2312" w:eastAsia="仿宋_GB2312" w:cs="仿宋_GB2312"/>
          <w:bCs/>
          <w:color w:val="auto"/>
          <w:sz w:val="32"/>
          <w:szCs w:val="32"/>
          <w:highlight w:val="none"/>
          <w:lang w:val="en-US" w:eastAsia="zh-CN"/>
        </w:rPr>
        <w:t>做好项目</w:t>
      </w:r>
      <w:r>
        <w:rPr>
          <w:rFonts w:hint="eastAsia" w:ascii="仿宋_GB2312" w:hAnsi="仿宋_GB2312" w:eastAsia="仿宋_GB2312" w:cs="仿宋_GB2312"/>
          <w:bCs/>
          <w:color w:val="auto"/>
          <w:sz w:val="32"/>
          <w:szCs w:val="32"/>
          <w:highlight w:val="none"/>
          <w:lang w:eastAsia="zh-CN"/>
        </w:rPr>
        <w:t>组织实施，根据要求按时向市、区相关部门报告项目进展情况、扶持资金使用情况。项目实施过程中，项目建设内容若出现重大情况需调整的，项目单位应及时向所在区</w:t>
      </w:r>
      <w:r>
        <w:rPr>
          <w:rFonts w:hint="eastAsia" w:ascii="仿宋_GB2312" w:hAnsi="仿宋_GB2312" w:eastAsia="仿宋_GB2312" w:cs="仿宋_GB2312"/>
          <w:bCs/>
          <w:color w:val="auto"/>
          <w:sz w:val="32"/>
          <w:szCs w:val="32"/>
          <w:highlight w:val="none"/>
          <w:lang w:val="en-US" w:eastAsia="zh-CN"/>
        </w:rPr>
        <w:t>或市级业务主管部门</w:t>
      </w:r>
      <w:r>
        <w:rPr>
          <w:rFonts w:hint="eastAsia" w:ascii="仿宋_GB2312" w:hAnsi="仿宋_GB2312" w:eastAsia="仿宋_GB2312" w:cs="仿宋_GB2312"/>
          <w:bCs/>
          <w:color w:val="auto"/>
          <w:sz w:val="32"/>
          <w:szCs w:val="32"/>
          <w:highlight w:val="none"/>
          <w:lang w:eastAsia="zh-CN"/>
        </w:rPr>
        <w:t>报告，经专家评审通过后方可实施变更。</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580" w:lineRule="exact"/>
        <w:ind w:firstLine="640" w:firstLineChars="200"/>
        <w:textAlignment w:val="auto"/>
        <w:rPr>
          <w:rFonts w:hint="eastAsia" w:ascii="仿宋_GB2312" w:hAnsi="仿宋_GB2312" w:eastAsia="仿宋_GB2312" w:cs="仿宋_GB2312"/>
          <w:bCs/>
          <w:color w:val="auto"/>
          <w:sz w:val="32"/>
          <w:szCs w:val="32"/>
          <w:highlight w:val="none"/>
          <w:lang w:val="en-US" w:eastAsia="zh-CN"/>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十九</w:t>
      </w:r>
      <w:r>
        <w:rPr>
          <w:rFonts w:hint="eastAsia" w:ascii="黑体" w:hAnsi="黑体" w:eastAsia="黑体" w:cs="黑体"/>
          <w:bCs/>
          <w:color w:val="auto"/>
          <w:sz w:val="32"/>
          <w:szCs w:val="32"/>
          <w:highlight w:val="none"/>
        </w:rPr>
        <w:t>条</w:t>
      </w:r>
      <w:r>
        <w:rPr>
          <w:rFonts w:hint="eastAsia" w:ascii="仿宋_GB2312" w:hAnsi="仿宋_GB2312" w:eastAsia="仿宋_GB2312" w:cs="仿宋_GB2312"/>
          <w:bCs/>
          <w:color w:val="auto"/>
          <w:sz w:val="32"/>
          <w:szCs w:val="32"/>
          <w:highlight w:val="none"/>
        </w:rPr>
        <w:t xml:space="preserve">  </w:t>
      </w:r>
      <w:r>
        <w:rPr>
          <w:rFonts w:hint="eastAsia" w:ascii="仿宋_GB2312" w:hAnsi="仿宋_GB2312" w:eastAsia="仿宋_GB2312" w:cs="仿宋_GB2312"/>
          <w:bCs/>
          <w:color w:val="auto"/>
          <w:sz w:val="32"/>
          <w:szCs w:val="32"/>
          <w:highlight w:val="none"/>
          <w:lang w:eastAsia="zh-CN"/>
        </w:rPr>
        <w:t>项目</w:t>
      </w:r>
      <w:r>
        <w:rPr>
          <w:rFonts w:hint="eastAsia" w:ascii="仿宋_GB2312" w:hAnsi="仿宋_GB2312" w:eastAsia="仿宋_GB2312" w:cs="仿宋_GB2312"/>
          <w:bCs/>
          <w:color w:val="auto"/>
          <w:sz w:val="32"/>
          <w:szCs w:val="32"/>
          <w:highlight w:val="none"/>
        </w:rPr>
        <w:t>奖补</w:t>
      </w:r>
      <w:r>
        <w:rPr>
          <w:rFonts w:hint="eastAsia" w:ascii="仿宋_GB2312" w:hAnsi="仿宋_GB2312" w:eastAsia="仿宋_GB2312" w:cs="仿宋_GB2312"/>
          <w:bCs/>
          <w:color w:val="auto"/>
          <w:sz w:val="32"/>
          <w:szCs w:val="32"/>
          <w:highlight w:val="none"/>
          <w:lang w:eastAsia="zh-CN"/>
        </w:rPr>
        <w:t>资金</w:t>
      </w:r>
      <w:r>
        <w:rPr>
          <w:rFonts w:hint="eastAsia" w:ascii="仿宋_GB2312" w:hAnsi="仿宋_GB2312" w:eastAsia="仿宋_GB2312" w:cs="仿宋_GB2312"/>
          <w:bCs/>
          <w:color w:val="auto"/>
          <w:sz w:val="32"/>
          <w:szCs w:val="32"/>
          <w:highlight w:val="none"/>
        </w:rPr>
        <w:t>可结合项目</w:t>
      </w:r>
      <w:r>
        <w:rPr>
          <w:rFonts w:hint="eastAsia" w:ascii="仿宋_GB2312" w:hAnsi="仿宋_GB2312" w:eastAsia="仿宋_GB2312" w:cs="仿宋_GB2312"/>
          <w:bCs/>
          <w:color w:val="auto"/>
          <w:sz w:val="32"/>
          <w:szCs w:val="32"/>
          <w:highlight w:val="none"/>
          <w:lang w:val="en-US" w:eastAsia="zh-CN"/>
        </w:rPr>
        <w:t>基本</w:t>
      </w:r>
      <w:r>
        <w:rPr>
          <w:rFonts w:hint="eastAsia" w:ascii="仿宋_GB2312" w:hAnsi="仿宋_GB2312" w:eastAsia="仿宋_GB2312" w:cs="仿宋_GB2312"/>
          <w:bCs/>
          <w:color w:val="auto"/>
          <w:sz w:val="32"/>
          <w:szCs w:val="32"/>
          <w:highlight w:val="none"/>
        </w:rPr>
        <w:t>情况、</w:t>
      </w:r>
      <w:r>
        <w:rPr>
          <w:rFonts w:hint="eastAsia" w:ascii="仿宋_GB2312" w:hAnsi="仿宋_GB2312" w:eastAsia="仿宋_GB2312" w:cs="仿宋_GB2312"/>
          <w:bCs/>
          <w:color w:val="auto"/>
          <w:sz w:val="32"/>
          <w:szCs w:val="32"/>
          <w:highlight w:val="none"/>
          <w:lang w:val="en-US" w:eastAsia="zh-CN"/>
        </w:rPr>
        <w:t>投资进度、</w:t>
      </w:r>
      <w:r>
        <w:rPr>
          <w:rFonts w:hint="eastAsia" w:ascii="仿宋_GB2312" w:hAnsi="仿宋_GB2312" w:eastAsia="仿宋_GB2312" w:cs="仿宋_GB2312"/>
          <w:bCs/>
          <w:color w:val="auto"/>
          <w:sz w:val="32"/>
          <w:szCs w:val="32"/>
          <w:highlight w:val="none"/>
        </w:rPr>
        <w:t>绩效目标实施进度和项目实施周期</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由市商务局会同市财政局拨付项目进度资金，</w:t>
      </w:r>
      <w:r>
        <w:rPr>
          <w:rFonts w:hint="eastAsia" w:ascii="仿宋_GB2312" w:hAnsi="仿宋_GB2312" w:eastAsia="仿宋_GB2312" w:cs="仿宋_GB2312"/>
          <w:bCs/>
          <w:color w:val="auto"/>
          <w:sz w:val="32"/>
          <w:szCs w:val="32"/>
          <w:highlight w:val="none"/>
        </w:rPr>
        <w:t>可按一定比例预拨，累计拨付金额不超过</w:t>
      </w:r>
      <w:r>
        <w:rPr>
          <w:rFonts w:hint="eastAsia" w:ascii="仿宋_GB2312" w:hAnsi="仿宋_GB2312" w:eastAsia="仿宋_GB2312" w:cs="仿宋_GB2312"/>
          <w:bCs/>
          <w:color w:val="auto"/>
          <w:sz w:val="32"/>
          <w:szCs w:val="32"/>
          <w:highlight w:val="none"/>
          <w:lang w:val="en-US" w:eastAsia="zh-CN"/>
        </w:rPr>
        <w:t>项目奖补金额</w:t>
      </w:r>
      <w:r>
        <w:rPr>
          <w:rFonts w:hint="eastAsia" w:ascii="仿宋_GB2312" w:hAnsi="仿宋_GB2312" w:eastAsia="仿宋_GB2312" w:cs="仿宋_GB2312"/>
          <w:bCs/>
          <w:color w:val="auto"/>
          <w:sz w:val="32"/>
          <w:szCs w:val="32"/>
          <w:highlight w:val="none"/>
        </w:rPr>
        <w:t>的80%，</w:t>
      </w:r>
      <w:r>
        <w:rPr>
          <w:rFonts w:hint="eastAsia" w:ascii="仿宋_GB2312" w:hAnsi="仿宋_GB2312" w:eastAsia="仿宋_GB2312" w:cs="仿宋_GB2312"/>
          <w:bCs/>
          <w:color w:val="auto"/>
          <w:sz w:val="32"/>
          <w:szCs w:val="32"/>
          <w:highlight w:val="none"/>
          <w:lang w:val="en-US" w:eastAsia="zh-CN"/>
        </w:rPr>
        <w:t>余款</w:t>
      </w:r>
      <w:r>
        <w:rPr>
          <w:rFonts w:hint="eastAsia" w:ascii="仿宋_GB2312" w:hAnsi="仿宋_GB2312" w:eastAsia="仿宋_GB2312" w:cs="仿宋_GB2312"/>
          <w:bCs/>
          <w:color w:val="auto"/>
          <w:sz w:val="32"/>
          <w:szCs w:val="32"/>
          <w:highlight w:val="none"/>
        </w:rPr>
        <w:t>待项目完成后进行</w:t>
      </w:r>
      <w:r>
        <w:rPr>
          <w:rFonts w:hint="eastAsia" w:ascii="仿宋_GB2312" w:hAnsi="仿宋_GB2312" w:eastAsia="仿宋_GB2312" w:cs="仿宋_GB2312"/>
          <w:bCs/>
          <w:color w:val="auto"/>
          <w:sz w:val="32"/>
          <w:szCs w:val="32"/>
          <w:highlight w:val="none"/>
          <w:lang w:val="en-US" w:eastAsia="zh-CN"/>
        </w:rPr>
        <w:t>验收</w:t>
      </w:r>
      <w:r>
        <w:rPr>
          <w:rFonts w:hint="eastAsia" w:ascii="仿宋_GB2312" w:hAnsi="仿宋_GB2312" w:eastAsia="仿宋_GB2312" w:cs="仿宋_GB2312"/>
          <w:bCs/>
          <w:color w:val="auto"/>
          <w:sz w:val="32"/>
          <w:szCs w:val="32"/>
          <w:highlight w:val="none"/>
        </w:rPr>
        <w:t>清算。</w:t>
      </w:r>
      <w:r>
        <w:rPr>
          <w:rFonts w:hint="eastAsia" w:ascii="仿宋_GB2312" w:hAnsi="仿宋_GB2312" w:eastAsia="仿宋_GB2312" w:cs="仿宋_GB2312"/>
          <w:bCs/>
          <w:color w:val="auto"/>
          <w:kern w:val="2"/>
          <w:sz w:val="32"/>
          <w:szCs w:val="32"/>
          <w:highlight w:val="none"/>
          <w:lang w:val="en-US" w:eastAsia="zh-CN" w:bidi="ar-SA"/>
        </w:rPr>
        <w:t>项目因故终止</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视情</w:t>
      </w:r>
      <w:r>
        <w:rPr>
          <w:rFonts w:hint="eastAsia" w:ascii="仿宋_GB2312" w:hAnsi="仿宋_GB2312" w:eastAsia="仿宋_GB2312" w:cs="仿宋_GB2312"/>
          <w:bCs/>
          <w:color w:val="auto"/>
          <w:sz w:val="32"/>
          <w:szCs w:val="32"/>
          <w:highlight w:val="none"/>
        </w:rPr>
        <w:t>收回</w:t>
      </w:r>
      <w:r>
        <w:rPr>
          <w:rFonts w:hint="eastAsia" w:ascii="仿宋_GB2312" w:hAnsi="仿宋_GB2312" w:eastAsia="仿宋_GB2312" w:cs="仿宋_GB2312"/>
          <w:bCs/>
          <w:color w:val="auto"/>
          <w:sz w:val="32"/>
          <w:szCs w:val="32"/>
          <w:highlight w:val="none"/>
          <w:lang w:eastAsia="zh-CN"/>
        </w:rPr>
        <w:t>全部或部分奖补</w:t>
      </w:r>
      <w:r>
        <w:rPr>
          <w:rFonts w:hint="eastAsia" w:ascii="仿宋_GB2312" w:hAnsi="仿宋_GB2312" w:eastAsia="仿宋_GB2312" w:cs="仿宋_GB2312"/>
          <w:bCs/>
          <w:color w:val="auto"/>
          <w:sz w:val="32"/>
          <w:szCs w:val="32"/>
          <w:highlight w:val="none"/>
        </w:rPr>
        <w:t>资金；已完结项目，未使用的项目资金及时清算并收回。</w:t>
      </w:r>
    </w:p>
    <w:p>
      <w:pPr>
        <w:keepNext w:val="0"/>
        <w:keepLines w:val="0"/>
        <w:pageBreakBefore w:val="0"/>
        <w:widowControl/>
        <w:numPr>
          <w:ilvl w:val="-1"/>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0" w:afterLines="0" w:line="600" w:lineRule="exact"/>
        <w:ind w:left="0" w:leftChars="0" w:firstLine="640" w:firstLineChars="200"/>
        <w:contextualSpacing w:val="0"/>
        <w:jc w:val="both"/>
        <w:textAlignment w:val="auto"/>
        <w:outlineLvl w:val="9"/>
        <w:rPr>
          <w:rFonts w:hint="eastAsia" w:ascii="仿宋_GB2312" w:hAnsi="仿宋_GB2312" w:eastAsia="仿宋_GB2312" w:cs="仿宋_GB2312"/>
          <w:bCs/>
          <w:color w:val="auto"/>
          <w:kern w:val="2"/>
          <w:sz w:val="32"/>
          <w:szCs w:val="32"/>
          <w:highlight w:val="none"/>
          <w:lang w:val="en-US" w:eastAsia="zh-CN" w:bidi="ar-SA"/>
        </w:rPr>
      </w:pPr>
      <w:r>
        <w:rPr>
          <w:rFonts w:hint="eastAsia" w:ascii="黑体" w:hAnsi="黑体" w:eastAsia="黑体" w:cs="黑体"/>
          <w:bCs/>
          <w:color w:val="auto"/>
          <w:kern w:val="2"/>
          <w:sz w:val="32"/>
          <w:szCs w:val="32"/>
          <w:highlight w:val="none"/>
          <w:lang w:val="en-US" w:eastAsia="zh-CN" w:bidi="ar-SA"/>
        </w:rPr>
        <w:t xml:space="preserve">第二十条  </w:t>
      </w:r>
      <w:r>
        <w:rPr>
          <w:rFonts w:hint="eastAsia" w:ascii="仿宋_GB2312" w:hAnsi="仿宋_GB2312" w:eastAsia="仿宋_GB2312" w:cs="仿宋_GB2312"/>
          <w:bCs/>
          <w:color w:val="auto"/>
          <w:kern w:val="2"/>
          <w:sz w:val="32"/>
          <w:szCs w:val="32"/>
          <w:highlight w:val="none"/>
          <w:lang w:val="en-US" w:eastAsia="zh-CN" w:bidi="ar-SA"/>
        </w:rPr>
        <w:t>项目单位应在项目竣工后两个月内向所在区</w:t>
      </w:r>
      <w:r>
        <w:rPr>
          <w:rFonts w:hint="eastAsia" w:ascii="仿宋_GB2312" w:hAnsi="仿宋_GB2312" w:eastAsia="仿宋_GB2312" w:cs="仿宋_GB2312"/>
          <w:bCs/>
          <w:color w:val="auto"/>
          <w:sz w:val="32"/>
          <w:szCs w:val="32"/>
          <w:highlight w:val="none"/>
          <w:lang w:val="en-US" w:eastAsia="zh-CN"/>
        </w:rPr>
        <w:t>或市级业务主管部门</w:t>
      </w:r>
      <w:r>
        <w:rPr>
          <w:rFonts w:hint="eastAsia" w:ascii="仿宋_GB2312" w:hAnsi="仿宋_GB2312" w:eastAsia="仿宋_GB2312" w:cs="仿宋_GB2312"/>
          <w:bCs/>
          <w:color w:val="auto"/>
          <w:kern w:val="2"/>
          <w:sz w:val="32"/>
          <w:szCs w:val="32"/>
          <w:highlight w:val="none"/>
          <w:lang w:val="en-US" w:eastAsia="zh-CN" w:bidi="ar-SA"/>
        </w:rPr>
        <w:t>提出项目验收申请。各区商务主管部门</w:t>
      </w:r>
      <w:r>
        <w:rPr>
          <w:rFonts w:hint="eastAsia" w:ascii="仿宋_GB2312" w:hAnsi="仿宋_GB2312" w:eastAsia="仿宋_GB2312" w:cs="仿宋_GB2312"/>
          <w:bCs/>
          <w:color w:val="auto"/>
          <w:sz w:val="32"/>
          <w:szCs w:val="32"/>
          <w:highlight w:val="none"/>
          <w:lang w:val="en-US" w:eastAsia="zh-CN"/>
        </w:rPr>
        <w:t>或市级业务主管部门</w:t>
      </w:r>
      <w:r>
        <w:rPr>
          <w:rFonts w:hint="eastAsia" w:ascii="仿宋_GB2312" w:hAnsi="仿宋_GB2312" w:eastAsia="仿宋_GB2312" w:cs="仿宋_GB2312"/>
          <w:bCs/>
          <w:color w:val="auto"/>
          <w:kern w:val="2"/>
          <w:sz w:val="32"/>
          <w:szCs w:val="32"/>
          <w:highlight w:val="none"/>
          <w:lang w:val="en-US" w:eastAsia="zh-CN" w:bidi="ar-SA"/>
        </w:rPr>
        <w:t>对验收申请进行初步把关，符合验收条件的报请市商务局组织专家或委托第三方中介机构对项目完成情况进行验收。验收内容主要包括：项目计划投资和建设任务完成情况，资金使用和管理情况，项目的社会效益、经济效益等绩效目标是否达到申报目标，对国际化消费环境起到的带动引领作用等。验收结论报市政府研究批准，并报商务部和财政部备案。</w:t>
      </w:r>
    </w:p>
    <w:p>
      <w:pPr>
        <w:keepNext w:val="0"/>
        <w:keepLines w:val="0"/>
        <w:pageBreakBefore w:val="0"/>
        <w:widowControl w:val="0"/>
        <w:numPr>
          <w:ilvl w:val="-1"/>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0" w:afterLines="0" w:line="600" w:lineRule="exact"/>
        <w:ind w:left="0" w:leftChars="0" w:firstLine="640" w:firstLineChars="200"/>
        <w:contextualSpacing w:val="0"/>
        <w:jc w:val="left"/>
        <w:textAlignment w:val="auto"/>
        <w:outlineLvl w:val="9"/>
        <w:rPr>
          <w:rFonts w:hint="eastAsia" w:ascii="仿宋_GB2312" w:hAnsi="仿宋_GB2312" w:eastAsia="仿宋_GB2312" w:cs="仿宋_GB2312"/>
          <w:bCs/>
          <w:color w:val="auto"/>
          <w:kern w:val="2"/>
          <w:sz w:val="32"/>
          <w:szCs w:val="32"/>
          <w:highlight w:val="none"/>
          <w:lang w:val="en-US" w:eastAsia="zh-CN" w:bidi="ar-SA"/>
        </w:rPr>
      </w:pPr>
    </w:p>
    <w:p>
      <w:pPr>
        <w:widowControl/>
        <w:numPr>
          <w:ilvl w:val="0"/>
          <w:numId w:val="0"/>
        </w:numPr>
        <w:pBdr>
          <w:top w:val="none" w:color="auto" w:sz="0" w:space="0"/>
          <w:left w:val="none" w:color="auto" w:sz="0" w:space="0"/>
          <w:bottom w:val="none" w:color="auto" w:sz="0" w:space="0"/>
          <w:right w:val="none" w:color="auto" w:sz="0" w:space="0"/>
          <w:between w:val="none" w:color="auto" w:sz="0" w:space="0"/>
        </w:pBdr>
        <w:overflowPunct w:val="0"/>
        <w:adjustRightInd w:val="0"/>
        <w:snapToGrid w:val="0"/>
        <w:spacing w:beforeLines="0" w:afterLines="0" w:line="600" w:lineRule="exact"/>
        <w:ind w:firstLine="0" w:firstLineChars="0"/>
        <w:jc w:val="center"/>
        <w:textAlignment w:val="baseline"/>
        <w:outlineLvl w:val="9"/>
        <w:rPr>
          <w:rFonts w:hint="eastAsia" w:ascii="黑体" w:hAnsi="黑体" w:eastAsia="黑体" w:cs="黑体"/>
          <w:bCs w:val="0"/>
          <w:sz w:val="32"/>
          <w:szCs w:val="32"/>
        </w:rPr>
      </w:pPr>
      <w:r>
        <w:rPr>
          <w:rFonts w:hint="eastAsia" w:ascii="黑体" w:hAnsi="黑体" w:eastAsia="黑体" w:cs="黑体"/>
          <w:bCs w:val="0"/>
          <w:sz w:val="32"/>
          <w:szCs w:val="32"/>
        </w:rPr>
        <w:t>第</w:t>
      </w:r>
      <w:r>
        <w:rPr>
          <w:rFonts w:hint="eastAsia" w:ascii="黑体" w:hAnsi="黑体" w:eastAsia="黑体" w:cs="黑体"/>
          <w:bCs w:val="0"/>
          <w:sz w:val="32"/>
          <w:szCs w:val="32"/>
          <w:lang w:val="en-US" w:eastAsia="zh-CN"/>
        </w:rPr>
        <w:t>五</w:t>
      </w:r>
      <w:r>
        <w:rPr>
          <w:rFonts w:hint="eastAsia" w:ascii="黑体" w:hAnsi="黑体" w:eastAsia="黑体" w:cs="黑体"/>
          <w:bCs w:val="0"/>
          <w:sz w:val="32"/>
          <w:szCs w:val="32"/>
        </w:rPr>
        <w:t>章  绩效管理和监督检查</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default" w:ascii="仿宋_GB2312" w:hAnsi="仿宋_GB2312" w:eastAsia="仿宋_GB2312" w:cs="仿宋_GB2312"/>
          <w:bCs/>
          <w:color w:val="auto"/>
          <w:sz w:val="32"/>
          <w:szCs w:val="32"/>
          <w:highlight w:val="none"/>
          <w:lang w:val="en-US" w:eastAsia="zh-CN"/>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二十一</w:t>
      </w:r>
      <w:r>
        <w:rPr>
          <w:rFonts w:hint="eastAsia" w:ascii="黑体" w:hAnsi="黑体" w:eastAsia="黑体" w:cs="黑体"/>
          <w:bCs/>
          <w:color w:val="auto"/>
          <w:sz w:val="32"/>
          <w:szCs w:val="32"/>
          <w:highlight w:val="none"/>
        </w:rPr>
        <w:t>条</w:t>
      </w:r>
      <w:r>
        <w:rPr>
          <w:rFonts w:hint="eastAsia" w:ascii="仿宋_GB2312" w:hAnsi="仿宋_GB2312" w:eastAsia="仿宋_GB2312" w:cs="仿宋_GB2312"/>
          <w:bCs/>
          <w:color w:val="auto"/>
          <w:sz w:val="32"/>
          <w:szCs w:val="32"/>
          <w:highlight w:val="none"/>
        </w:rPr>
        <w:t xml:space="preserve">  为提高财政资金使用效益，</w:t>
      </w:r>
      <w:r>
        <w:rPr>
          <w:rFonts w:hint="eastAsia" w:ascii="仿宋_GB2312" w:hAnsi="仿宋_GB2312" w:eastAsia="仿宋_GB2312" w:cs="仿宋_GB2312"/>
          <w:bCs/>
          <w:color w:val="auto"/>
          <w:sz w:val="32"/>
          <w:szCs w:val="32"/>
          <w:highlight w:val="none"/>
          <w:lang w:val="en-US" w:eastAsia="zh-CN"/>
        </w:rPr>
        <w:t>项目申报时应设定项目</w:t>
      </w:r>
      <w:r>
        <w:rPr>
          <w:rFonts w:hint="eastAsia" w:ascii="仿宋_GB2312" w:hAnsi="仿宋_GB2312" w:eastAsia="仿宋_GB2312" w:cs="仿宋_GB2312"/>
          <w:bCs/>
          <w:color w:val="auto"/>
          <w:sz w:val="32"/>
          <w:szCs w:val="32"/>
          <w:highlight w:val="none"/>
        </w:rPr>
        <w:t>绩效目标，</w:t>
      </w:r>
      <w:r>
        <w:rPr>
          <w:rFonts w:hint="eastAsia" w:ascii="仿宋_GB2312" w:hAnsi="仿宋_GB2312" w:eastAsia="仿宋_GB2312" w:cs="仿宋_GB2312"/>
          <w:bCs/>
          <w:color w:val="auto"/>
          <w:sz w:val="32"/>
          <w:szCs w:val="32"/>
          <w:highlight w:val="none"/>
          <w:lang w:val="en-US" w:eastAsia="zh-CN"/>
        </w:rPr>
        <w:t>市商务局应综合各项目绩效目标设定专项资金整体</w:t>
      </w:r>
      <w:r>
        <w:rPr>
          <w:rFonts w:hint="eastAsia" w:ascii="仿宋_GB2312" w:hAnsi="仿宋_GB2312" w:eastAsia="仿宋_GB2312" w:cs="仿宋_GB2312"/>
          <w:bCs/>
          <w:color w:val="auto"/>
          <w:sz w:val="32"/>
          <w:szCs w:val="32"/>
          <w:highlight w:val="none"/>
        </w:rPr>
        <w:t>绩效目标</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所涉及的指标应当反映</w:t>
      </w:r>
      <w:r>
        <w:rPr>
          <w:rFonts w:hint="eastAsia" w:ascii="仿宋_GB2312" w:hAnsi="仿宋_GB2312" w:eastAsia="仿宋_GB2312" w:cs="仿宋_GB2312"/>
          <w:bCs/>
          <w:color w:val="auto"/>
          <w:sz w:val="32"/>
          <w:szCs w:val="32"/>
          <w:highlight w:val="none"/>
          <w:lang w:val="en-US" w:eastAsia="zh-CN"/>
        </w:rPr>
        <w:t>项目</w:t>
      </w:r>
      <w:r>
        <w:rPr>
          <w:rFonts w:hint="eastAsia" w:ascii="仿宋_GB2312" w:hAnsi="仿宋_GB2312" w:eastAsia="仿宋_GB2312" w:cs="仿宋_GB2312"/>
          <w:bCs/>
          <w:color w:val="auto"/>
          <w:sz w:val="32"/>
          <w:szCs w:val="32"/>
          <w:highlight w:val="none"/>
        </w:rPr>
        <w:t>的成本、产出</w:t>
      </w:r>
      <w:r>
        <w:rPr>
          <w:rFonts w:hint="eastAsia" w:ascii="仿宋_GB2312" w:hAnsi="仿宋_GB2312" w:eastAsia="仿宋_GB2312" w:cs="仿宋_GB2312"/>
          <w:bCs/>
          <w:color w:val="auto"/>
          <w:sz w:val="32"/>
          <w:szCs w:val="32"/>
          <w:highlight w:val="none"/>
          <w:lang w:val="en-US" w:eastAsia="zh-CN"/>
        </w:rPr>
        <w:t>和</w:t>
      </w:r>
      <w:r>
        <w:rPr>
          <w:rFonts w:hint="eastAsia" w:ascii="仿宋_GB2312" w:hAnsi="仿宋_GB2312" w:eastAsia="仿宋_GB2312" w:cs="仿宋_GB2312"/>
          <w:bCs/>
          <w:color w:val="auto"/>
          <w:sz w:val="32"/>
          <w:szCs w:val="32"/>
          <w:highlight w:val="none"/>
        </w:rPr>
        <w:t>效益，数量、质量、时效、成本</w:t>
      </w:r>
      <w:r>
        <w:rPr>
          <w:rFonts w:hint="eastAsia" w:ascii="仿宋_GB2312" w:hAnsi="仿宋_GB2312" w:eastAsia="仿宋_GB2312" w:cs="仿宋_GB2312"/>
          <w:bCs/>
          <w:color w:val="auto"/>
          <w:sz w:val="32"/>
          <w:szCs w:val="32"/>
          <w:highlight w:val="none"/>
          <w:lang w:val="en-US" w:eastAsia="zh-CN"/>
        </w:rPr>
        <w:t>和</w:t>
      </w:r>
      <w:r>
        <w:rPr>
          <w:rFonts w:hint="eastAsia" w:ascii="仿宋_GB2312" w:hAnsi="仿宋_GB2312" w:eastAsia="仿宋_GB2312" w:cs="仿宋_GB2312"/>
          <w:bCs/>
          <w:color w:val="auto"/>
          <w:sz w:val="32"/>
          <w:szCs w:val="32"/>
          <w:highlight w:val="none"/>
        </w:rPr>
        <w:t>效益等方面与任务</w:t>
      </w:r>
      <w:r>
        <w:rPr>
          <w:rFonts w:hint="eastAsia" w:ascii="仿宋_GB2312" w:hAnsi="仿宋_GB2312" w:eastAsia="仿宋_GB2312" w:cs="仿宋_GB2312"/>
          <w:bCs/>
          <w:color w:val="auto"/>
          <w:sz w:val="32"/>
          <w:szCs w:val="32"/>
          <w:highlight w:val="none"/>
          <w:lang w:eastAsia="zh-CN"/>
        </w:rPr>
        <w:t>数量</w:t>
      </w:r>
      <w:r>
        <w:rPr>
          <w:rFonts w:hint="eastAsia" w:ascii="仿宋_GB2312" w:hAnsi="仿宋_GB2312" w:eastAsia="仿宋_GB2312" w:cs="仿宋_GB2312"/>
          <w:bCs/>
          <w:color w:val="auto"/>
          <w:sz w:val="32"/>
          <w:szCs w:val="32"/>
          <w:highlight w:val="none"/>
        </w:rPr>
        <w:t>相对应、与资金量相匹配。</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rPr>
      </w:pPr>
      <w:r>
        <w:rPr>
          <w:rFonts w:hint="eastAsia" w:ascii="黑体" w:hAnsi="黑体" w:eastAsia="黑体" w:cs="黑体"/>
          <w:bCs/>
          <w:color w:val="auto"/>
          <w:sz w:val="32"/>
          <w:szCs w:val="32"/>
          <w:highlight w:val="none"/>
          <w:lang w:val="en-US" w:eastAsia="zh-CN"/>
        </w:rPr>
        <w:t>第二十二条</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在预算年度结束</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试点期中</w:t>
      </w:r>
      <w:r>
        <w:rPr>
          <w:rFonts w:hint="eastAsia" w:ascii="仿宋_GB2312" w:hAnsi="仿宋_GB2312" w:eastAsia="仿宋_GB2312" w:cs="仿宋_GB2312"/>
          <w:bCs/>
          <w:color w:val="auto"/>
          <w:sz w:val="32"/>
          <w:szCs w:val="32"/>
          <w:highlight w:val="none"/>
        </w:rPr>
        <w:t>或补助资金实施期满时，</w:t>
      </w:r>
      <w:r>
        <w:rPr>
          <w:rFonts w:hint="eastAsia" w:ascii="仿宋_GB2312" w:hAnsi="仿宋_GB2312" w:eastAsia="仿宋_GB2312" w:cs="仿宋_GB2312"/>
          <w:bCs/>
          <w:color w:val="auto"/>
          <w:sz w:val="32"/>
          <w:szCs w:val="32"/>
          <w:highlight w:val="none"/>
          <w:lang w:val="en-US" w:eastAsia="zh-CN"/>
        </w:rPr>
        <w:t>市商务局</w:t>
      </w:r>
      <w:r>
        <w:rPr>
          <w:rFonts w:hint="eastAsia" w:ascii="仿宋_GB2312" w:hAnsi="仿宋_GB2312" w:eastAsia="仿宋_GB2312" w:cs="仿宋_GB2312"/>
          <w:bCs/>
          <w:color w:val="auto"/>
          <w:sz w:val="32"/>
          <w:szCs w:val="32"/>
          <w:highlight w:val="none"/>
        </w:rPr>
        <w:t>会同市财政局</w:t>
      </w:r>
      <w:r>
        <w:rPr>
          <w:rFonts w:hint="eastAsia" w:ascii="仿宋_GB2312" w:hAnsi="仿宋_GB2312" w:eastAsia="仿宋_GB2312" w:cs="仿宋_GB2312"/>
          <w:bCs/>
          <w:color w:val="auto"/>
          <w:sz w:val="32"/>
          <w:szCs w:val="32"/>
          <w:highlight w:val="none"/>
          <w:lang w:eastAsia="zh-CN"/>
        </w:rPr>
        <w:t>开展项目绩效评价和试点绩效评价。</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eastAsia="zh-CN"/>
        </w:rPr>
        <w:t>（一）项目绩效评价。</w:t>
      </w:r>
      <w:r>
        <w:rPr>
          <w:rFonts w:hint="eastAsia" w:ascii="仿宋_GB2312" w:hAnsi="仿宋_GB2312" w:eastAsia="仿宋_GB2312" w:cs="仿宋_GB2312"/>
          <w:bCs/>
          <w:color w:val="auto"/>
          <w:sz w:val="32"/>
          <w:szCs w:val="32"/>
          <w:highlight w:val="none"/>
        </w:rPr>
        <w:t>对绩效目标完成情况开展绩效评价，对相关工作进展和资金使用情况开展绩效考核。绩效评价结果作为完善专项资金政策、改进管理以及</w:t>
      </w:r>
      <w:r>
        <w:rPr>
          <w:rFonts w:hint="eastAsia" w:ascii="仿宋_GB2312" w:hAnsi="仿宋_GB2312" w:eastAsia="仿宋_GB2312" w:cs="仿宋_GB2312"/>
          <w:bCs/>
          <w:color w:val="auto"/>
          <w:sz w:val="32"/>
          <w:szCs w:val="32"/>
          <w:highlight w:val="none"/>
          <w:lang w:val="en-US" w:eastAsia="zh-CN"/>
        </w:rPr>
        <w:t>资金核拨</w:t>
      </w:r>
      <w:r>
        <w:rPr>
          <w:rFonts w:hint="eastAsia" w:ascii="仿宋_GB2312" w:hAnsi="仿宋_GB2312" w:eastAsia="仿宋_GB2312" w:cs="仿宋_GB2312"/>
          <w:bCs/>
          <w:color w:val="auto"/>
          <w:sz w:val="32"/>
          <w:szCs w:val="32"/>
          <w:highlight w:val="none"/>
        </w:rPr>
        <w:t>的重要参考依据。</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eastAsia="zh-CN"/>
        </w:rPr>
        <w:t>（二）试点绩效评价。</w:t>
      </w:r>
      <w:r>
        <w:rPr>
          <w:rFonts w:hint="eastAsia" w:ascii="仿宋_GB2312" w:hAnsi="仿宋_GB2312" w:eastAsia="仿宋_GB2312" w:cs="仿宋_GB2312"/>
          <w:bCs/>
          <w:color w:val="auto"/>
          <w:sz w:val="32"/>
          <w:szCs w:val="32"/>
          <w:highlight w:val="none"/>
        </w:rPr>
        <w:t>试点启动第二年初</w:t>
      </w:r>
      <w:r>
        <w:rPr>
          <w:rFonts w:hint="eastAsia" w:ascii="仿宋_GB2312" w:hAnsi="仿宋_GB2312" w:eastAsia="仿宋_GB2312" w:cs="仿宋_GB2312"/>
          <w:bCs/>
          <w:color w:val="auto"/>
          <w:sz w:val="32"/>
          <w:szCs w:val="32"/>
          <w:highlight w:val="none"/>
          <w:lang w:eastAsia="zh-CN"/>
        </w:rPr>
        <w:t>，组织开展试点城市绩效自评，于</w:t>
      </w:r>
      <w:r>
        <w:rPr>
          <w:rFonts w:hint="eastAsia" w:ascii="仿宋_GB2312" w:hAnsi="仿宋_GB2312" w:eastAsia="仿宋_GB2312" w:cs="仿宋_GB2312"/>
          <w:bCs/>
          <w:color w:val="auto"/>
          <w:sz w:val="32"/>
          <w:szCs w:val="32"/>
          <w:highlight w:val="none"/>
          <w:lang w:val="en-US" w:eastAsia="zh-CN"/>
        </w:rPr>
        <w:t>3月底前报送期中自评报告。试点期满后，组织开展试点城市绩效自评，报送绩效自评报告。</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val="en-US" w:eastAsia="zh-CN"/>
        </w:rPr>
      </w:pPr>
      <w:r>
        <w:rPr>
          <w:rFonts w:hint="eastAsia" w:ascii="黑体" w:hAnsi="黑体" w:eastAsia="黑体" w:cs="黑体"/>
          <w:bCs/>
          <w:color w:val="auto"/>
          <w:sz w:val="32"/>
          <w:szCs w:val="32"/>
          <w:highlight w:val="none"/>
          <w:lang w:eastAsia="zh-CN"/>
        </w:rPr>
        <w:t>第二十</w:t>
      </w:r>
      <w:r>
        <w:rPr>
          <w:rFonts w:hint="eastAsia" w:ascii="黑体" w:hAnsi="黑体" w:eastAsia="黑体" w:cs="黑体"/>
          <w:bCs/>
          <w:color w:val="auto"/>
          <w:sz w:val="32"/>
          <w:szCs w:val="32"/>
          <w:highlight w:val="none"/>
          <w:lang w:val="en-US" w:eastAsia="zh-CN"/>
        </w:rPr>
        <w:t>三</w:t>
      </w:r>
      <w:r>
        <w:rPr>
          <w:rFonts w:hint="eastAsia" w:ascii="黑体" w:hAnsi="黑体" w:eastAsia="黑体" w:cs="黑体"/>
          <w:bCs/>
          <w:color w:val="auto"/>
          <w:sz w:val="32"/>
          <w:szCs w:val="32"/>
          <w:highlight w:val="none"/>
          <w:lang w:eastAsia="zh-CN"/>
        </w:rPr>
        <w:t>条</w:t>
      </w:r>
      <w:r>
        <w:rPr>
          <w:rFonts w:hint="eastAsia" w:ascii="仿宋_GB2312" w:hAnsi="仿宋_GB2312" w:eastAsia="仿宋_GB2312" w:cs="仿宋_GB2312"/>
          <w:bCs/>
          <w:color w:val="auto"/>
          <w:sz w:val="32"/>
          <w:szCs w:val="32"/>
          <w:highlight w:val="none"/>
          <w:lang w:val="en-US" w:eastAsia="zh-CN"/>
        </w:rPr>
        <w:t xml:space="preserve">  项目申报单位应加强扶持资金使用管理，做好试点台账以及资金使用档案，配合信息报送及绩效评价，接受审计等监督检查。</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val="en-US" w:eastAsia="zh-CN"/>
        </w:rPr>
      </w:pPr>
      <w:r>
        <w:rPr>
          <w:rFonts w:hint="eastAsia" w:ascii="黑体" w:hAnsi="黑体" w:eastAsia="黑体" w:cs="黑体"/>
          <w:bCs/>
          <w:color w:val="auto"/>
          <w:sz w:val="32"/>
          <w:szCs w:val="32"/>
          <w:highlight w:val="none"/>
          <w:lang w:val="en-US" w:eastAsia="zh-CN"/>
        </w:rPr>
        <w:t>第二十四条</w:t>
      </w:r>
      <w:r>
        <w:rPr>
          <w:rFonts w:hint="eastAsia" w:ascii="仿宋_GB2312" w:hAnsi="仿宋_GB2312" w:eastAsia="仿宋_GB2312" w:cs="仿宋_GB2312"/>
          <w:bCs/>
          <w:color w:val="auto"/>
          <w:sz w:val="32"/>
          <w:szCs w:val="32"/>
          <w:highlight w:val="none"/>
          <w:lang w:val="en-US" w:eastAsia="zh-CN"/>
        </w:rPr>
        <w:t xml:space="preserve">  充分发挥智库作用，项目评审论证、项目管理、专项检查、项目验收和绩效评价等工作可委托第三方开展，相关经费不得从专项资金中列支。</w:t>
      </w:r>
    </w:p>
    <w:p>
      <w:pPr>
        <w:pBdr>
          <w:top w:val="none" w:color="auto" w:sz="0" w:space="1"/>
          <w:left w:val="none" w:color="auto" w:sz="0" w:space="4"/>
          <w:bottom w:val="none" w:color="auto" w:sz="0" w:space="1"/>
          <w:right w:val="none" w:color="auto" w:sz="0" w:space="4"/>
          <w:between w:val="none" w:color="auto" w:sz="0" w:space="0"/>
        </w:pBdr>
        <w:overflowPunct w:val="0"/>
        <w:adjustRightInd w:val="0"/>
        <w:snapToGrid w:val="0"/>
        <w:spacing w:beforeLines="0" w:afterLines="0" w:line="600" w:lineRule="exact"/>
        <w:ind w:firstLine="640" w:firstLineChars="200"/>
        <w:textAlignment w:val="auto"/>
        <w:rPr>
          <w:rFonts w:hint="eastAsia" w:ascii="仿宋_GB2312" w:hAnsi="仿宋_GB2312" w:eastAsia="仿宋_GB2312" w:cs="仿宋_GB2312"/>
          <w:bCs/>
          <w:color w:val="auto"/>
          <w:sz w:val="32"/>
          <w:szCs w:val="32"/>
          <w:highlight w:val="none"/>
          <w:lang w:val="en-US" w:eastAsia="zh-CN"/>
        </w:rPr>
      </w:pPr>
      <w:r>
        <w:rPr>
          <w:rFonts w:hint="eastAsia" w:ascii="黑体" w:hAnsi="黑体" w:eastAsia="黑体" w:cs="黑体"/>
          <w:bCs/>
          <w:color w:val="auto"/>
          <w:sz w:val="32"/>
          <w:szCs w:val="32"/>
          <w:highlight w:val="none"/>
          <w:lang w:val="en-US" w:eastAsia="zh-CN"/>
        </w:rPr>
        <w:t>第二十五条</w:t>
      </w:r>
      <w:r>
        <w:rPr>
          <w:rFonts w:hint="eastAsia" w:ascii="仿宋_GB2312" w:hAnsi="仿宋_GB2312" w:eastAsia="仿宋_GB2312" w:cs="仿宋_GB2312"/>
          <w:bCs/>
          <w:color w:val="auto"/>
          <w:sz w:val="32"/>
          <w:szCs w:val="32"/>
          <w:highlight w:val="none"/>
          <w:lang w:val="en-US" w:eastAsia="zh-CN"/>
        </w:rPr>
        <w:t xml:space="preserve">  市商务局、市财政局会同各有关部门、各区加强对专项资金安排使用情况的监督检查和绩效评价，必要时组织专家或委托第三方中介机构进行专项检查和绩效评价。对存在资金使用不规范、擅自改变项目主要建设内容、绩效目标严重落空等情况的项目，视情况减拨、停拨或者收回已拨付的扶持资金。</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二十六</w:t>
      </w:r>
      <w:r>
        <w:rPr>
          <w:rFonts w:hint="eastAsia" w:ascii="黑体" w:hAnsi="黑体" w:eastAsia="黑体" w:cs="黑体"/>
          <w:bCs/>
          <w:color w:val="auto"/>
          <w:sz w:val="32"/>
          <w:szCs w:val="32"/>
          <w:highlight w:val="none"/>
        </w:rPr>
        <w:t>条</w:t>
      </w:r>
      <w:r>
        <w:rPr>
          <w:rFonts w:hint="eastAsia" w:ascii="仿宋_GB2312" w:hAnsi="仿宋_GB2312" w:eastAsia="仿宋_GB2312" w:cs="仿宋_GB2312"/>
          <w:bCs/>
          <w:color w:val="auto"/>
          <w:sz w:val="32"/>
          <w:szCs w:val="32"/>
          <w:highlight w:val="none"/>
        </w:rPr>
        <w:t xml:space="preserve">  专项资金使用管理中存在虚报、冒领、截留、挪用等违法行为的，应当按照预算法及其实施条例、《财政违法行为处罚处分条例》等有关规定，责令将资金归还原有渠道或收回财政，对相关部门和单位予以处理，并依法追究相关责任人的责任。构成犯罪的，依法移送司法机关。</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jc w:val="left"/>
        <w:textAlignment w:val="auto"/>
        <w:rPr>
          <w:rFonts w:hint="eastAsia" w:ascii="仿宋_GB2312" w:hAnsi="仿宋_GB2312" w:eastAsia="仿宋_GB2312" w:cs="仿宋_GB2312"/>
          <w:bCs/>
          <w:color w:val="auto"/>
          <w:sz w:val="32"/>
          <w:szCs w:val="32"/>
          <w:highlight w:val="none"/>
        </w:rPr>
      </w:pP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val="0"/>
        <w:topLinePunct w:val="0"/>
        <w:autoSpaceDE/>
        <w:autoSpaceDN/>
        <w:bidi w:val="0"/>
        <w:adjustRightInd w:val="0"/>
        <w:snapToGrid w:val="0"/>
        <w:spacing w:beforeLines="0" w:afterLines="0" w:line="600" w:lineRule="exact"/>
        <w:ind w:firstLine="0" w:firstLineChars="0"/>
        <w:jc w:val="center"/>
        <w:textAlignment w:val="baseline"/>
        <w:outlineLvl w:val="9"/>
        <w:rPr>
          <w:rFonts w:hint="eastAsia" w:ascii="黑体" w:hAnsi="黑体" w:eastAsia="黑体" w:cs="黑体"/>
          <w:bCs w:val="0"/>
          <w:sz w:val="32"/>
          <w:szCs w:val="32"/>
        </w:rPr>
      </w:pPr>
      <w:r>
        <w:rPr>
          <w:rFonts w:hint="eastAsia" w:ascii="黑体" w:hAnsi="黑体" w:eastAsia="黑体" w:cs="黑体"/>
          <w:bCs w:val="0"/>
          <w:sz w:val="32"/>
          <w:szCs w:val="32"/>
        </w:rPr>
        <w:t>第</w:t>
      </w:r>
      <w:r>
        <w:rPr>
          <w:rFonts w:hint="eastAsia" w:ascii="黑体" w:hAnsi="黑体" w:eastAsia="黑体" w:cs="黑体"/>
          <w:bCs w:val="0"/>
          <w:sz w:val="32"/>
          <w:szCs w:val="32"/>
          <w:lang w:val="en-US" w:eastAsia="zh-CN"/>
        </w:rPr>
        <w:t>六</w:t>
      </w:r>
      <w:r>
        <w:rPr>
          <w:rFonts w:hint="eastAsia" w:ascii="黑体" w:hAnsi="黑体" w:eastAsia="黑体" w:cs="黑体"/>
          <w:bCs w:val="0"/>
          <w:sz w:val="32"/>
          <w:szCs w:val="32"/>
        </w:rPr>
        <w:t xml:space="preserve">章 </w:t>
      </w:r>
      <w:r>
        <w:rPr>
          <w:rFonts w:hint="eastAsia" w:ascii="黑体" w:hAnsi="黑体" w:eastAsia="黑体" w:cs="黑体"/>
          <w:bCs w:val="0"/>
          <w:sz w:val="32"/>
          <w:szCs w:val="32"/>
          <w:lang w:val="en-US" w:eastAsia="zh-CN"/>
        </w:rPr>
        <w:t xml:space="preserve"> </w:t>
      </w:r>
      <w:r>
        <w:rPr>
          <w:rFonts w:hint="eastAsia" w:ascii="黑体" w:hAnsi="黑体" w:eastAsia="黑体" w:cs="黑体"/>
          <w:bCs w:val="0"/>
          <w:sz w:val="32"/>
          <w:szCs w:val="32"/>
        </w:rPr>
        <w:t>附则</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hint="eastAsia" w:ascii="仿宋_GB2312" w:hAnsi="仿宋_GB2312" w:eastAsia="仿宋_GB2312" w:cs="仿宋_GB2312"/>
          <w:bCs/>
          <w:color w:val="auto"/>
          <w:sz w:val="32"/>
          <w:szCs w:val="32"/>
          <w:highlight w:val="none"/>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二十七</w:t>
      </w:r>
      <w:r>
        <w:rPr>
          <w:rFonts w:hint="eastAsia" w:ascii="黑体" w:hAnsi="黑体" w:eastAsia="黑体" w:cs="黑体"/>
          <w:bCs/>
          <w:color w:val="auto"/>
          <w:sz w:val="32"/>
          <w:szCs w:val="32"/>
          <w:highlight w:val="none"/>
        </w:rPr>
        <w:t>条</w:t>
      </w:r>
      <w:r>
        <w:rPr>
          <w:rFonts w:hint="eastAsia" w:ascii="仿宋_GB2312" w:hAnsi="仿宋_GB2312" w:eastAsia="仿宋_GB2312" w:cs="仿宋_GB2312"/>
          <w:bCs/>
          <w:color w:val="auto"/>
          <w:sz w:val="32"/>
          <w:szCs w:val="32"/>
          <w:highlight w:val="none"/>
        </w:rPr>
        <w:t xml:space="preserve"> </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本办法由市财政局会同市商务局</w:t>
      </w:r>
      <w:r>
        <w:rPr>
          <w:rFonts w:hint="eastAsia" w:ascii="仿宋_GB2312" w:hAnsi="仿宋_GB2312" w:eastAsia="仿宋_GB2312" w:cs="仿宋_GB2312"/>
          <w:bCs/>
          <w:color w:val="auto"/>
          <w:sz w:val="32"/>
          <w:szCs w:val="32"/>
          <w:highlight w:val="none"/>
          <w:lang w:val="en-US" w:eastAsia="zh-CN"/>
        </w:rPr>
        <w:t>印发并</w:t>
      </w:r>
      <w:r>
        <w:rPr>
          <w:rFonts w:hint="eastAsia" w:ascii="仿宋_GB2312" w:hAnsi="仿宋_GB2312" w:eastAsia="仿宋_GB2312" w:cs="仿宋_GB2312"/>
          <w:bCs/>
          <w:color w:val="auto"/>
          <w:sz w:val="32"/>
          <w:szCs w:val="32"/>
          <w:highlight w:val="none"/>
        </w:rPr>
        <w:t>负责解释。</w:t>
      </w: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Lines="0" w:afterLines="0" w:line="600" w:lineRule="exact"/>
        <w:ind w:firstLine="640" w:firstLineChars="200"/>
        <w:textAlignment w:val="baseline"/>
        <w:rPr>
          <w:rFonts w:ascii="仿宋_GB2312" w:hAnsi="仿宋_GB2312" w:cs="仿宋_GB2312"/>
          <w:sz w:val="32"/>
          <w:szCs w:val="32"/>
        </w:rPr>
      </w:pPr>
      <w:r>
        <w:rPr>
          <w:rFonts w:hint="eastAsia" w:ascii="黑体" w:hAnsi="黑体" w:eastAsia="黑体" w:cs="黑体"/>
          <w:bCs/>
          <w:color w:val="auto"/>
          <w:sz w:val="32"/>
          <w:szCs w:val="32"/>
          <w:highlight w:val="none"/>
        </w:rPr>
        <w:t>第</w:t>
      </w:r>
      <w:r>
        <w:rPr>
          <w:rFonts w:hint="eastAsia" w:ascii="黑体" w:hAnsi="黑体" w:eastAsia="黑体" w:cs="黑体"/>
          <w:bCs/>
          <w:color w:val="auto"/>
          <w:sz w:val="32"/>
          <w:szCs w:val="32"/>
          <w:highlight w:val="none"/>
          <w:lang w:val="en-US" w:eastAsia="zh-CN"/>
        </w:rPr>
        <w:t>二十八</w:t>
      </w:r>
      <w:r>
        <w:rPr>
          <w:rFonts w:hint="eastAsia" w:ascii="黑体" w:hAnsi="黑体" w:eastAsia="黑体" w:cs="黑体"/>
          <w:bCs/>
          <w:color w:val="auto"/>
          <w:sz w:val="32"/>
          <w:szCs w:val="32"/>
          <w:highlight w:val="none"/>
        </w:rPr>
        <w:t xml:space="preserve">条 </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本办法自印发之日起施行，有效期至厦门市国际化消费环境建设项目实施周期结束。</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FB5095"/>
    <w:rsid w:val="031F7BB7"/>
    <w:rsid w:val="04D87DC7"/>
    <w:rsid w:val="05900FD6"/>
    <w:rsid w:val="092B1742"/>
    <w:rsid w:val="0DB55EC8"/>
    <w:rsid w:val="10B95885"/>
    <w:rsid w:val="126D6927"/>
    <w:rsid w:val="17375756"/>
    <w:rsid w:val="175B6261"/>
    <w:rsid w:val="1A073B05"/>
    <w:rsid w:val="1AEB73B7"/>
    <w:rsid w:val="1E8B2A5C"/>
    <w:rsid w:val="1EEF4494"/>
    <w:rsid w:val="20120B0E"/>
    <w:rsid w:val="20EA2C10"/>
    <w:rsid w:val="211A2370"/>
    <w:rsid w:val="23F57DFF"/>
    <w:rsid w:val="24D26ABE"/>
    <w:rsid w:val="26445799"/>
    <w:rsid w:val="2BFD35E0"/>
    <w:rsid w:val="2C1E6C01"/>
    <w:rsid w:val="2D32459D"/>
    <w:rsid w:val="2E21163E"/>
    <w:rsid w:val="2F6E294B"/>
    <w:rsid w:val="2F8E33BE"/>
    <w:rsid w:val="355C665B"/>
    <w:rsid w:val="3B3836C7"/>
    <w:rsid w:val="3DB66B25"/>
    <w:rsid w:val="3EBB0897"/>
    <w:rsid w:val="3EFB5095"/>
    <w:rsid w:val="421309EA"/>
    <w:rsid w:val="46EC35B7"/>
    <w:rsid w:val="4C47669F"/>
    <w:rsid w:val="4CEE0089"/>
    <w:rsid w:val="4D7C0A21"/>
    <w:rsid w:val="50727DEE"/>
    <w:rsid w:val="52707792"/>
    <w:rsid w:val="55DC1BEA"/>
    <w:rsid w:val="572D17AE"/>
    <w:rsid w:val="58535C57"/>
    <w:rsid w:val="621E68C3"/>
    <w:rsid w:val="63BFA5CD"/>
    <w:rsid w:val="646C600B"/>
    <w:rsid w:val="64A5151D"/>
    <w:rsid w:val="661A0E88"/>
    <w:rsid w:val="677C4CD5"/>
    <w:rsid w:val="6D170809"/>
    <w:rsid w:val="6F0D3F47"/>
    <w:rsid w:val="726A767F"/>
    <w:rsid w:val="77262DDE"/>
    <w:rsid w:val="79B21A11"/>
    <w:rsid w:val="7B915200"/>
    <w:rsid w:val="7BBFDCAD"/>
    <w:rsid w:val="7E4F632A"/>
    <w:rsid w:val="7F9BE032"/>
    <w:rsid w:val="7FFABAA6"/>
    <w:rsid w:val="7FFF9796"/>
    <w:rsid w:val="FD7F3970"/>
    <w:rsid w:val="FEDFA507"/>
    <w:rsid w:val="FFB8F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index 5"/>
    <w:basedOn w:val="1"/>
    <w:next w:val="1"/>
    <w:unhideWhenUsed/>
    <w:qFormat/>
    <w:uiPriority w:val="99"/>
    <w:pPr>
      <w:ind w:left="800" w:leftChars="800"/>
    </w:pPr>
  </w:style>
  <w:style w:type="paragraph" w:styleId="3">
    <w:name w:val="Balloon Text"/>
    <w:basedOn w:val="1"/>
    <w:next w:val="2"/>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5285</Words>
  <Characters>5339</Characters>
  <Lines>0</Lines>
  <Paragraphs>0</Paragraphs>
  <TotalTime>19</TotalTime>
  <ScaleCrop>false</ScaleCrop>
  <LinksUpToDate>false</LinksUpToDate>
  <CharactersWithSpaces>5412</CharactersWithSpaces>
  <Application>WPS Office_11.8.2.12293_F1E327BC-269C-435d-A152-05C5408002CA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2025-11-23T14:00:00Z</dcterms:created>
  <dc:creator>火哥</dc:creator>
  <cp:lastModifiedBy>徐小轩</cp:lastModifiedBy>
  <cp:lastPrinted>2025-12-10T11:04:00Z</cp:lastPrinted>
  <dcterms:modified xsi:type="dcterms:W3CDTF">2025-12-25T18:24:09Z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2052-11.8.2.12293</vt:lpwstr>
  </property>
  <property fmtid="{D5CDD505-2E9C-101B-9397-08002B2CF9AE}" pid="3" name="ICV">
    <vt:lpwstr>5431E188236042948730C3C41C73FE48_13</vt:lpwstr>
  </property>
  <property fmtid="{D5CDD505-2E9C-101B-9397-08002B2CF9AE}" pid="4" name="KSOTemplateDocerSaveRecord">
    <vt:lpwstr>eyJoZGlkIjoiZjFmZWIzNDg2MmIzZjExOTIzMmViNTBmYTMwYTk0ZWYiLCJ1c2VySWQiOiIyNjkyNzk5MzcifQ==</vt:lpwstr>
  </property>
</Properties>
</file>